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2"/>
          <w:szCs w:val="32"/>
        </w:rPr>
      </w:pPr>
    </w:p>
    <w:p>
      <w:pPr>
        <w:jc w:val="center"/>
        <w:rPr>
          <w:rFonts w:ascii="宋体"/>
          <w:b/>
          <w:sz w:val="32"/>
          <w:szCs w:val="32"/>
        </w:rPr>
      </w:pPr>
    </w:p>
    <w:p>
      <w:pPr>
        <w:jc w:val="center"/>
        <w:rPr>
          <w:rFonts w:ascii="宋体"/>
          <w:b/>
          <w:sz w:val="32"/>
          <w:szCs w:val="32"/>
        </w:rPr>
      </w:pPr>
    </w:p>
    <w:p>
      <w:pPr>
        <w:spacing w:line="360" w:lineRule="auto"/>
        <w:jc w:val="center"/>
        <w:rPr>
          <w:rFonts w:hint="eastAsia" w:ascii="方正小标宋简体" w:hAnsi="方正小标宋简体" w:eastAsia="方正小标宋简体" w:cs="方正小标宋简体"/>
          <w:b w:val="0"/>
          <w:bCs/>
          <w:kern w:val="22"/>
          <w:sz w:val="44"/>
          <w:szCs w:val="44"/>
        </w:rPr>
      </w:pPr>
      <w:r>
        <w:rPr>
          <w:rFonts w:hint="eastAsia" w:ascii="方正小标宋简体" w:hAnsi="方正小标宋简体" w:eastAsia="方正小标宋简体" w:cs="方正小标宋简体"/>
          <w:b w:val="0"/>
          <w:bCs/>
          <w:kern w:val="22"/>
          <w:sz w:val="44"/>
          <w:szCs w:val="44"/>
        </w:rPr>
        <w:t>山西省地方标准</w:t>
      </w:r>
    </w:p>
    <w:p>
      <w:pPr>
        <w:spacing w:line="360" w:lineRule="auto"/>
        <w:jc w:val="center"/>
        <w:rPr>
          <w:rFonts w:hint="eastAsia" w:ascii="方正小标宋简体" w:hAnsi="方正小标宋简体" w:eastAsia="方正小标宋简体" w:cs="方正小标宋简体"/>
          <w:b w:val="0"/>
          <w:bCs/>
          <w:kern w:val="22"/>
          <w:sz w:val="44"/>
          <w:szCs w:val="44"/>
        </w:rPr>
      </w:pPr>
      <w:r>
        <w:rPr>
          <w:rFonts w:hint="eastAsia" w:ascii="方正小标宋简体" w:hAnsi="方正小标宋简体" w:eastAsia="方正小标宋简体" w:cs="方正小标宋简体"/>
          <w:b w:val="0"/>
          <w:bCs/>
          <w:kern w:val="22"/>
          <w:sz w:val="44"/>
          <w:szCs w:val="44"/>
        </w:rPr>
        <w:t>《</w:t>
      </w:r>
      <w:r>
        <w:rPr>
          <w:rFonts w:hint="eastAsia" w:ascii="方正小标宋简体" w:hAnsi="方正小标宋简体" w:eastAsia="方正小标宋简体" w:cs="方正小标宋简体"/>
          <w:b w:val="0"/>
          <w:bCs/>
          <w:kern w:val="22"/>
          <w:sz w:val="44"/>
          <w:szCs w:val="44"/>
          <w:lang w:val="en-US" w:eastAsia="zh-CN"/>
        </w:rPr>
        <w:t>设施草莓主要病虫害绿色防控技术规程</w:t>
      </w:r>
      <w:r>
        <w:rPr>
          <w:rFonts w:hint="eastAsia" w:ascii="方正小标宋简体" w:hAnsi="方正小标宋简体" w:eastAsia="方正小标宋简体" w:cs="方正小标宋简体"/>
          <w:b w:val="0"/>
          <w:bCs/>
          <w:kern w:val="22"/>
          <w:sz w:val="44"/>
          <w:szCs w:val="44"/>
        </w:rPr>
        <w:t>》</w:t>
      </w:r>
    </w:p>
    <w:p>
      <w:pPr>
        <w:spacing w:line="360" w:lineRule="auto"/>
        <w:jc w:val="center"/>
        <w:rPr>
          <w:rFonts w:hint="eastAsia" w:ascii="方正小标宋简体" w:hAnsi="方正小标宋简体" w:eastAsia="方正小标宋简体" w:cs="方正小标宋简体"/>
          <w:b w:val="0"/>
          <w:bCs/>
          <w:kern w:val="22"/>
          <w:sz w:val="44"/>
          <w:szCs w:val="44"/>
        </w:rPr>
      </w:pPr>
      <w:r>
        <w:rPr>
          <w:rFonts w:hint="eastAsia" w:ascii="方正小标宋简体" w:hAnsi="方正小标宋简体" w:eastAsia="方正小标宋简体" w:cs="方正小标宋简体"/>
          <w:b w:val="0"/>
          <w:bCs/>
          <w:kern w:val="22"/>
          <w:sz w:val="44"/>
          <w:szCs w:val="44"/>
        </w:rPr>
        <w:t>编制说明</w:t>
      </w: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rPr>
          <w:rFonts w:ascii="仿宋" w:hAnsi="仿宋" w:eastAsia="仿宋"/>
          <w:b/>
          <w:sz w:val="32"/>
          <w:szCs w:val="32"/>
        </w:rPr>
      </w:pPr>
    </w:p>
    <w:p>
      <w:pPr>
        <w:ind w:firstLine="642" w:firstLineChars="200"/>
        <w:jc w:val="center"/>
        <w:rPr>
          <w:rFonts w:ascii="仿宋" w:hAnsi="仿宋" w:eastAsia="仿宋"/>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spacing w:line="360" w:lineRule="auto"/>
        <w:jc w:val="center"/>
        <w:rPr>
          <w:rFonts w:hint="default" w:ascii="Times New Roman" w:hAnsi="Times New Roman" w:eastAsia="方正黑体_GBK" w:cs="Times New Roman"/>
          <w:b w:val="0"/>
          <w:bCs/>
          <w:kern w:val="22"/>
          <w:sz w:val="32"/>
          <w:szCs w:val="32"/>
          <w:lang w:val="en-US" w:eastAsia="zh-CN"/>
        </w:rPr>
      </w:pPr>
      <w:r>
        <w:rPr>
          <w:rFonts w:hint="eastAsia" w:ascii="Times New Roman" w:hAnsi="Times New Roman" w:eastAsia="方正黑体_GBK" w:cs="Times New Roman"/>
          <w:b w:val="0"/>
          <w:bCs/>
          <w:kern w:val="22"/>
          <w:sz w:val="32"/>
          <w:szCs w:val="32"/>
        </w:rPr>
        <w:t>编制单位：</w:t>
      </w:r>
      <w:r>
        <w:rPr>
          <w:rFonts w:hint="eastAsia" w:ascii="Times New Roman" w:hAnsi="Times New Roman" w:eastAsia="方正黑体_GBK" w:cs="Times New Roman"/>
          <w:b w:val="0"/>
          <w:bCs/>
          <w:kern w:val="22"/>
          <w:sz w:val="32"/>
          <w:szCs w:val="32"/>
          <w:lang w:val="en-US" w:eastAsia="zh-CN"/>
        </w:rPr>
        <w:t>山西省植物保护植物检疫中心</w:t>
      </w:r>
    </w:p>
    <w:p>
      <w:pPr>
        <w:spacing w:line="360" w:lineRule="auto"/>
        <w:jc w:val="center"/>
        <w:rPr>
          <w:rFonts w:hint="default" w:ascii="Times New Roman" w:hAnsi="Times New Roman" w:eastAsia="方正黑体_GBK" w:cs="Times New Roman"/>
          <w:b w:val="0"/>
          <w:bCs/>
          <w:kern w:val="22"/>
          <w:sz w:val="32"/>
          <w:szCs w:val="32"/>
        </w:rPr>
      </w:pPr>
      <w:r>
        <w:rPr>
          <w:rFonts w:hint="eastAsia" w:ascii="Times New Roman" w:hAnsi="Times New Roman" w:eastAsia="方正黑体_GBK" w:cs="Times New Roman"/>
          <w:b w:val="0"/>
          <w:bCs/>
          <w:kern w:val="22"/>
          <w:sz w:val="32"/>
          <w:szCs w:val="32"/>
        </w:rPr>
        <w:t xml:space="preserve"> 二〇</w:t>
      </w:r>
      <w:r>
        <w:rPr>
          <w:rFonts w:hint="eastAsia" w:ascii="Times New Roman" w:hAnsi="Times New Roman" w:eastAsia="方正黑体_GBK" w:cs="Times New Roman"/>
          <w:b w:val="0"/>
          <w:bCs/>
          <w:kern w:val="22"/>
          <w:sz w:val="32"/>
          <w:szCs w:val="32"/>
          <w:lang w:eastAsia="zh-CN"/>
        </w:rPr>
        <w:t>二四</w:t>
      </w:r>
      <w:r>
        <w:rPr>
          <w:rFonts w:hint="eastAsia" w:ascii="Times New Roman" w:hAnsi="Times New Roman" w:eastAsia="方正黑体_GBK" w:cs="Times New Roman"/>
          <w:b w:val="0"/>
          <w:bCs/>
          <w:kern w:val="22"/>
          <w:sz w:val="32"/>
          <w:szCs w:val="32"/>
        </w:rPr>
        <w:t>年</w:t>
      </w:r>
      <w:r>
        <w:rPr>
          <w:rFonts w:hint="eastAsia" w:ascii="Times New Roman" w:hAnsi="Times New Roman" w:eastAsia="方正黑体_GBK" w:cs="Times New Roman"/>
          <w:b w:val="0"/>
          <w:bCs/>
          <w:kern w:val="22"/>
          <w:sz w:val="32"/>
          <w:szCs w:val="32"/>
          <w:lang w:eastAsia="zh-CN"/>
        </w:rPr>
        <w:t>一</w:t>
      </w:r>
      <w:r>
        <w:rPr>
          <w:rFonts w:hint="eastAsia" w:ascii="Times New Roman" w:hAnsi="Times New Roman" w:eastAsia="方正黑体_GBK" w:cs="Times New Roman"/>
          <w:b w:val="0"/>
          <w:bCs/>
          <w:kern w:val="22"/>
          <w:sz w:val="32"/>
          <w:szCs w:val="32"/>
        </w:rPr>
        <w:t>月</w:t>
      </w:r>
    </w:p>
    <w:p>
      <w:pPr>
        <w:jc w:val="center"/>
        <w:rPr>
          <w:rFonts w:ascii="宋体" w:hAnsi="宋体"/>
          <w:b/>
          <w:sz w:val="32"/>
          <w:szCs w:val="32"/>
        </w:rPr>
      </w:pPr>
    </w:p>
    <w:p>
      <w:pPr>
        <w:jc w:val="center"/>
        <w:rPr>
          <w:rFonts w:ascii="宋体" w:hAnsi="宋体"/>
          <w:b/>
          <w:sz w:val="32"/>
          <w:szCs w:val="32"/>
        </w:rPr>
        <w:sectPr>
          <w:footerReference r:id="rId3" w:type="default"/>
          <w:pgSz w:w="11906" w:h="16838"/>
          <w:pgMar w:top="1440" w:right="1803" w:bottom="1440" w:left="1803" w:header="851" w:footer="992" w:gutter="0"/>
          <w:pgNumType w:fmt="decimal" w:start="1"/>
          <w:cols w:space="0" w:num="1"/>
          <w:titlePg/>
          <w:rtlGutter w:val="0"/>
          <w:docGrid w:type="lines" w:linePitch="319" w:charSpace="0"/>
        </w:sectPr>
      </w:pPr>
    </w:p>
    <w:p>
      <w:pPr>
        <w:pStyle w:val="2"/>
      </w:pPr>
    </w:p>
    <w:p>
      <w:pPr>
        <w:jc w:val="center"/>
        <w:rPr>
          <w:rFonts w:ascii="宋体" w:hAnsi="宋体"/>
          <w:b/>
          <w:sz w:val="32"/>
          <w:szCs w:val="32"/>
        </w:rPr>
      </w:pPr>
    </w:p>
    <w:p>
      <w:pPr>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山西省地方标准</w:t>
      </w:r>
    </w:p>
    <w:p>
      <w:pPr>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w:t>
      </w:r>
      <w:r>
        <w:rPr>
          <w:rFonts w:hint="eastAsia" w:ascii="方正小标宋简体" w:hAnsi="方正小标宋简体" w:eastAsia="方正小标宋简体" w:cs="方正小标宋简体"/>
          <w:b w:val="0"/>
          <w:bCs/>
          <w:sz w:val="36"/>
          <w:szCs w:val="36"/>
          <w:lang w:val="en-US" w:eastAsia="zh-CN"/>
        </w:rPr>
        <w:t>设施草莓主要</w:t>
      </w:r>
      <w:bookmarkStart w:id="0" w:name="_GoBack"/>
      <w:bookmarkEnd w:id="0"/>
      <w:r>
        <w:rPr>
          <w:rFonts w:hint="eastAsia" w:ascii="方正小标宋简体" w:hAnsi="方正小标宋简体" w:eastAsia="方正小标宋简体" w:cs="方正小标宋简体"/>
          <w:b w:val="0"/>
          <w:bCs/>
          <w:sz w:val="36"/>
          <w:szCs w:val="36"/>
          <w:lang w:val="en-US" w:eastAsia="zh-CN"/>
        </w:rPr>
        <w:t>病虫害绿色防控技术规程</w:t>
      </w:r>
      <w:r>
        <w:rPr>
          <w:rFonts w:hint="eastAsia" w:ascii="方正小标宋简体" w:hAnsi="方正小标宋简体" w:eastAsia="方正小标宋简体" w:cs="方正小标宋简体"/>
          <w:b w:val="0"/>
          <w:bCs/>
          <w:sz w:val="36"/>
          <w:szCs w:val="36"/>
        </w:rPr>
        <w:t>》</w:t>
      </w:r>
    </w:p>
    <w:p>
      <w:pPr>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编制说明</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eastAsia="黑体"/>
          <w:sz w:val="32"/>
          <w:szCs w:val="32"/>
        </w:rPr>
      </w:pPr>
      <w:r>
        <w:rPr>
          <w:rFonts w:hint="eastAsia" w:ascii="黑体" w:eastAsia="黑体"/>
          <w:sz w:val="32"/>
          <w:szCs w:val="32"/>
        </w:rPr>
        <w:t>一、工作简况</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hint="eastAsia" w:ascii="楷体" w:hAnsi="楷体" w:eastAsia="楷体" w:cs="楷体"/>
          <w:sz w:val="32"/>
          <w:szCs w:val="32"/>
        </w:rPr>
      </w:pPr>
      <w:r>
        <w:rPr>
          <w:rFonts w:hint="eastAsia" w:ascii="楷体" w:hAnsi="楷体" w:eastAsia="楷体" w:cs="楷体"/>
          <w:sz w:val="32"/>
          <w:szCs w:val="32"/>
        </w:rPr>
        <w:t>1任务来源</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按照</w:t>
      </w:r>
      <w:r>
        <w:rPr>
          <w:rFonts w:hint="default" w:ascii="Times New Roman" w:hAnsi="Times New Roman" w:eastAsia="仿宋" w:cs="Times New Roman"/>
          <w:sz w:val="32"/>
          <w:szCs w:val="32"/>
        </w:rPr>
        <w:t>山西省市场监督管理局关于2022年度省级地方标准复审结论公告（山西省地方标准公告2022年第20号），《</w:t>
      </w:r>
      <w:r>
        <w:rPr>
          <w:rFonts w:hint="default" w:ascii="Times New Roman" w:hAnsi="Times New Roman" w:eastAsia="仿宋" w:cs="Times New Roman"/>
          <w:sz w:val="32"/>
          <w:szCs w:val="32"/>
          <w:lang w:val="en-US" w:eastAsia="zh-CN"/>
        </w:rPr>
        <w:t>保护地草莓病虫害绿色防控技术规程</w:t>
      </w:r>
      <w:r>
        <w:rPr>
          <w:rFonts w:hint="default" w:ascii="Times New Roman" w:hAnsi="Times New Roman" w:eastAsia="仿宋" w:cs="Times New Roman"/>
          <w:sz w:val="32"/>
          <w:szCs w:val="32"/>
        </w:rPr>
        <w:t>》DB14/T</w:t>
      </w:r>
      <w:r>
        <w:rPr>
          <w:rFonts w:hint="default" w:ascii="Times New Roman" w:hAnsi="Times New Roman" w:eastAsia="仿宋" w:cs="Times New Roman"/>
          <w:sz w:val="32"/>
          <w:szCs w:val="32"/>
          <w:lang w:val="en-US" w:eastAsia="zh-CN"/>
        </w:rPr>
        <w:t xml:space="preserve"> 1214</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lang w:val="en-US" w:eastAsia="zh-CN"/>
        </w:rPr>
        <w:t>2016被</w:t>
      </w:r>
      <w:r>
        <w:rPr>
          <w:rFonts w:hint="default" w:ascii="Times New Roman" w:hAnsi="Times New Roman" w:eastAsia="仿宋" w:cs="Times New Roman"/>
          <w:sz w:val="32"/>
          <w:szCs w:val="32"/>
        </w:rPr>
        <w:t>列</w:t>
      </w:r>
      <w:r>
        <w:rPr>
          <w:rFonts w:hint="default" w:ascii="Times New Roman" w:hAnsi="Times New Roman" w:eastAsia="仿宋" w:cs="Times New Roman"/>
          <w:sz w:val="32"/>
          <w:szCs w:val="32"/>
          <w:lang w:val="en-US" w:eastAsia="zh-CN"/>
        </w:rPr>
        <w:t>入</w:t>
      </w:r>
      <w:r>
        <w:rPr>
          <w:rFonts w:hint="default" w:ascii="Times New Roman" w:hAnsi="Times New Roman" w:eastAsia="仿宋" w:cs="Times New Roman"/>
          <w:sz w:val="32"/>
          <w:szCs w:val="32"/>
        </w:rPr>
        <w:t>山西省地方标准修订计划，本标准由山西省农业标准化技术委员会（SXS/TC19）归口。</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2 起草</w:t>
      </w:r>
      <w:r>
        <w:rPr>
          <w:rFonts w:hint="default" w:ascii="楷体" w:hAnsi="楷体" w:eastAsia="楷体" w:cs="楷体"/>
          <w:sz w:val="32"/>
          <w:szCs w:val="32"/>
          <w:lang w:val="en-US" w:eastAsia="zh-CN"/>
        </w:rPr>
        <w:t>单位和主要起草人</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起草任务由山西省植物保护植物检疫中心承担。</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hint="default" w:ascii="楷体" w:hAnsi="楷体" w:eastAsia="楷体" w:cs="楷体"/>
          <w:sz w:val="32"/>
          <w:szCs w:val="32"/>
        </w:rPr>
      </w:pPr>
      <w:r>
        <w:rPr>
          <w:rFonts w:hint="eastAsia" w:ascii="楷体" w:hAnsi="楷体" w:eastAsia="楷体" w:cs="楷体"/>
          <w:sz w:val="32"/>
          <w:szCs w:val="32"/>
          <w:lang w:val="en-US" w:eastAsia="zh-CN"/>
        </w:rPr>
        <w:t xml:space="preserve">3. </w:t>
      </w:r>
      <w:r>
        <w:rPr>
          <w:rFonts w:hint="default" w:ascii="楷体" w:hAnsi="楷体" w:eastAsia="楷体" w:cs="楷体"/>
          <w:sz w:val="32"/>
          <w:szCs w:val="32"/>
        </w:rPr>
        <w:t>主要起草人</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张东霞、</w:t>
      </w:r>
      <w:r>
        <w:rPr>
          <w:rFonts w:hint="eastAsia" w:ascii="Times New Roman" w:hAnsi="Times New Roman" w:eastAsia="仿宋" w:cs="Times New Roman"/>
          <w:sz w:val="32"/>
          <w:szCs w:val="32"/>
          <w:lang w:val="en-US" w:eastAsia="zh-CN"/>
        </w:rPr>
        <w:t>刘艳俊、郑晓东、岳润庆、刘琼、李霞、白育铭、李云飞、王莉、郑卫锋、胡浩、李静、秦峰</w:t>
      </w:r>
      <w:r>
        <w:rPr>
          <w:rFonts w:hint="default" w:ascii="Times New Roman" w:hAnsi="Times New Roman" w:eastAsia="仿宋"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1"/>
        <w:rPr>
          <w:rFonts w:hint="eastAsia" w:ascii="Times New Roman" w:hAnsi="Times New Roman" w:eastAsia="方正黑体_GBK" w:cs="Times New Roman"/>
          <w:sz w:val="28"/>
          <w:szCs w:val="28"/>
          <w:lang w:eastAsia="zh-CN"/>
        </w:rPr>
      </w:pPr>
      <w:r>
        <w:rPr>
          <w:rFonts w:hint="eastAsia" w:eastAsia="方正黑体_GBK" w:cs="Times New Roman"/>
          <w:sz w:val="28"/>
          <w:szCs w:val="28"/>
          <w:lang w:eastAsia="zh-CN"/>
        </w:rPr>
        <w:t>表</w:t>
      </w:r>
      <w:r>
        <w:rPr>
          <w:rFonts w:hint="eastAsia" w:eastAsia="方正黑体_GBK" w:cs="Times New Roman"/>
          <w:sz w:val="28"/>
          <w:szCs w:val="28"/>
          <w:lang w:val="en-US" w:eastAsia="zh-CN"/>
        </w:rPr>
        <w:t xml:space="preserve">1 </w:t>
      </w:r>
      <w:r>
        <w:rPr>
          <w:rFonts w:hint="eastAsia" w:ascii="Times New Roman" w:hAnsi="Times New Roman" w:eastAsia="方正黑体_GBK" w:cs="Times New Roman"/>
          <w:sz w:val="28"/>
          <w:szCs w:val="28"/>
          <w:lang w:eastAsia="zh-CN"/>
        </w:rPr>
        <w:t>主要起草人信息</w:t>
      </w:r>
    </w:p>
    <w:tbl>
      <w:tblPr>
        <w:tblStyle w:val="16"/>
        <w:tblW w:w="86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01"/>
        <w:gridCol w:w="3472"/>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ascii="仿宋" w:hAnsi="仿宋" w:eastAsia="仿宋" w:cs="Courier New"/>
                <w:sz w:val="24"/>
                <w:szCs w:val="24"/>
              </w:rPr>
            </w:pPr>
            <w:r>
              <w:rPr>
                <w:rFonts w:hint="eastAsia" w:ascii="仿宋" w:hAnsi="仿宋" w:eastAsia="仿宋" w:cs="Courier New"/>
                <w:sz w:val="24"/>
                <w:szCs w:val="24"/>
              </w:rPr>
              <w:t>姓名</w:t>
            </w:r>
          </w:p>
        </w:tc>
        <w:tc>
          <w:tcPr>
            <w:tcW w:w="993" w:type="dxa"/>
          </w:tcPr>
          <w:p>
            <w:pPr>
              <w:spacing w:line="400" w:lineRule="exact"/>
              <w:jc w:val="center"/>
              <w:rPr>
                <w:rFonts w:ascii="仿宋" w:hAnsi="仿宋" w:eastAsia="仿宋" w:cs="Courier New"/>
                <w:sz w:val="24"/>
                <w:szCs w:val="24"/>
              </w:rPr>
            </w:pPr>
            <w:r>
              <w:rPr>
                <w:rFonts w:hint="eastAsia" w:ascii="仿宋" w:hAnsi="仿宋" w:eastAsia="仿宋" w:cs="Courier New"/>
                <w:sz w:val="24"/>
                <w:szCs w:val="24"/>
              </w:rPr>
              <w:t>性别</w:t>
            </w:r>
          </w:p>
        </w:tc>
        <w:tc>
          <w:tcPr>
            <w:tcW w:w="1701" w:type="dxa"/>
          </w:tcPr>
          <w:p>
            <w:pPr>
              <w:spacing w:line="400" w:lineRule="exact"/>
              <w:jc w:val="center"/>
              <w:rPr>
                <w:rFonts w:ascii="仿宋" w:hAnsi="仿宋" w:eastAsia="仿宋" w:cs="Courier New"/>
                <w:sz w:val="24"/>
                <w:szCs w:val="24"/>
              </w:rPr>
            </w:pPr>
            <w:r>
              <w:rPr>
                <w:rFonts w:hint="eastAsia" w:ascii="仿宋" w:hAnsi="仿宋" w:eastAsia="仿宋" w:cs="Courier New"/>
                <w:sz w:val="24"/>
                <w:szCs w:val="24"/>
              </w:rPr>
              <w:t>职务/职称</w:t>
            </w:r>
          </w:p>
        </w:tc>
        <w:tc>
          <w:tcPr>
            <w:tcW w:w="3472" w:type="dxa"/>
          </w:tcPr>
          <w:p>
            <w:pPr>
              <w:spacing w:line="400" w:lineRule="exact"/>
              <w:jc w:val="center"/>
              <w:rPr>
                <w:rFonts w:ascii="仿宋" w:hAnsi="仿宋" w:eastAsia="仿宋" w:cs="Courier New"/>
                <w:sz w:val="24"/>
                <w:szCs w:val="24"/>
              </w:rPr>
            </w:pPr>
            <w:r>
              <w:rPr>
                <w:rFonts w:hint="eastAsia" w:ascii="仿宋" w:hAnsi="仿宋" w:eastAsia="仿宋" w:cs="Courier New"/>
                <w:sz w:val="24"/>
                <w:szCs w:val="24"/>
              </w:rPr>
              <w:t>工作单位</w:t>
            </w:r>
          </w:p>
        </w:tc>
        <w:tc>
          <w:tcPr>
            <w:tcW w:w="1263" w:type="dxa"/>
          </w:tcPr>
          <w:p>
            <w:pPr>
              <w:spacing w:line="400" w:lineRule="exact"/>
              <w:jc w:val="center"/>
              <w:rPr>
                <w:rFonts w:ascii="仿宋" w:hAnsi="仿宋" w:eastAsia="仿宋" w:cs="Courier New"/>
                <w:sz w:val="24"/>
                <w:szCs w:val="24"/>
              </w:rPr>
            </w:pPr>
            <w:r>
              <w:rPr>
                <w:rFonts w:hint="eastAsia" w:ascii="仿宋" w:hAnsi="仿宋" w:eastAsia="仿宋" w:cs="Courier New"/>
                <w:sz w:val="24"/>
                <w:szCs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张东霞</w:t>
            </w:r>
          </w:p>
        </w:tc>
        <w:tc>
          <w:tcPr>
            <w:tcW w:w="99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女</w:t>
            </w:r>
          </w:p>
        </w:tc>
        <w:tc>
          <w:tcPr>
            <w:tcW w:w="1701"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正高级农艺师</w:t>
            </w:r>
          </w:p>
        </w:tc>
        <w:tc>
          <w:tcPr>
            <w:tcW w:w="347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山西省植物保护植物检疫中心</w:t>
            </w:r>
          </w:p>
        </w:tc>
        <w:tc>
          <w:tcPr>
            <w:tcW w:w="126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刘艳俊</w:t>
            </w:r>
          </w:p>
        </w:tc>
        <w:tc>
          <w:tcPr>
            <w:tcW w:w="99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男</w:t>
            </w:r>
          </w:p>
        </w:tc>
        <w:tc>
          <w:tcPr>
            <w:tcW w:w="1701"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农艺师</w:t>
            </w:r>
          </w:p>
        </w:tc>
        <w:tc>
          <w:tcPr>
            <w:tcW w:w="3472" w:type="dxa"/>
            <w:vAlign w:val="top"/>
          </w:tcPr>
          <w:p>
            <w:pPr>
              <w:spacing w:line="400" w:lineRule="exact"/>
              <w:jc w:val="center"/>
              <w:rPr>
                <w:rFonts w:hint="eastAsia" w:ascii="仿宋" w:hAnsi="仿宋" w:eastAsia="仿宋" w:cs="Courier New"/>
                <w:kern w:val="2"/>
                <w:sz w:val="24"/>
                <w:szCs w:val="24"/>
                <w:lang w:val="en-US" w:eastAsia="zh-CN" w:bidi="ar-SA"/>
              </w:rPr>
            </w:pPr>
            <w:r>
              <w:rPr>
                <w:rFonts w:hint="eastAsia" w:ascii="仿宋" w:hAnsi="仿宋" w:eastAsia="仿宋" w:cs="Courier New"/>
                <w:sz w:val="24"/>
                <w:szCs w:val="24"/>
                <w:lang w:eastAsia="zh-CN"/>
              </w:rPr>
              <w:t>山西省植物保护植物检疫中心</w:t>
            </w:r>
          </w:p>
        </w:tc>
        <w:tc>
          <w:tcPr>
            <w:tcW w:w="1263" w:type="dxa"/>
            <w:vAlign w:val="top"/>
          </w:tcPr>
          <w:p>
            <w:pPr>
              <w:spacing w:line="400" w:lineRule="exact"/>
              <w:jc w:val="center"/>
              <w:rPr>
                <w:rFonts w:hint="eastAsia" w:ascii="仿宋" w:hAnsi="仿宋" w:eastAsia="仿宋" w:cs="Courier New"/>
                <w:kern w:val="2"/>
                <w:sz w:val="24"/>
                <w:szCs w:val="24"/>
                <w:lang w:val="en-US" w:eastAsia="zh-CN" w:bidi="ar-SA"/>
              </w:rPr>
            </w:pPr>
            <w:r>
              <w:rPr>
                <w:rFonts w:hint="eastAsia" w:ascii="仿宋" w:hAnsi="仿宋" w:eastAsia="仿宋" w:cs="Courier New"/>
                <w:sz w:val="24"/>
                <w:szCs w:val="24"/>
                <w:lang w:eastAsia="zh-CN"/>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郑晓东</w:t>
            </w:r>
          </w:p>
        </w:tc>
        <w:tc>
          <w:tcPr>
            <w:tcW w:w="993"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男</w:t>
            </w:r>
          </w:p>
        </w:tc>
        <w:tc>
          <w:tcPr>
            <w:tcW w:w="1701"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高级农艺师</w:t>
            </w:r>
          </w:p>
        </w:tc>
        <w:tc>
          <w:tcPr>
            <w:tcW w:w="347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山西省植物保护植物检疫中心</w:t>
            </w:r>
          </w:p>
        </w:tc>
        <w:tc>
          <w:tcPr>
            <w:tcW w:w="1263"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岳润庆</w:t>
            </w:r>
          </w:p>
        </w:tc>
        <w:tc>
          <w:tcPr>
            <w:tcW w:w="99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男</w:t>
            </w:r>
          </w:p>
        </w:tc>
        <w:tc>
          <w:tcPr>
            <w:tcW w:w="1701"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高级农艺师</w:t>
            </w:r>
          </w:p>
        </w:tc>
        <w:tc>
          <w:tcPr>
            <w:tcW w:w="347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阳泉市农业技术推广服务中心</w:t>
            </w:r>
          </w:p>
        </w:tc>
        <w:tc>
          <w:tcPr>
            <w:tcW w:w="1263" w:type="dxa"/>
          </w:tcPr>
          <w:p>
            <w:pPr>
              <w:spacing w:line="400" w:lineRule="exact"/>
              <w:jc w:val="center"/>
              <w:rPr>
                <w:rFonts w:hint="eastAsia" w:ascii="仿宋" w:hAnsi="仿宋" w:eastAsia="仿宋" w:cs="Courier New"/>
                <w:sz w:val="24"/>
                <w:szCs w:val="24"/>
              </w:rPr>
            </w:pPr>
            <w:r>
              <w:rPr>
                <w:rFonts w:hint="eastAsia" w:ascii="仿宋" w:hAnsi="仿宋" w:eastAsia="仿宋" w:cs="Courier New"/>
                <w:sz w:val="24"/>
                <w:szCs w:val="24"/>
                <w:lang w:eastAsia="zh-CN"/>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刘</w:t>
            </w:r>
            <w:r>
              <w:rPr>
                <w:rFonts w:hint="eastAsia" w:ascii="仿宋" w:hAnsi="仿宋" w:eastAsia="仿宋" w:cs="Courier New"/>
                <w:sz w:val="24"/>
                <w:szCs w:val="24"/>
                <w:lang w:val="en-US" w:eastAsia="zh-CN"/>
              </w:rPr>
              <w:t xml:space="preserve">  </w:t>
            </w:r>
            <w:r>
              <w:rPr>
                <w:rFonts w:hint="eastAsia" w:ascii="仿宋" w:hAnsi="仿宋" w:eastAsia="仿宋" w:cs="Courier New"/>
                <w:sz w:val="24"/>
                <w:szCs w:val="24"/>
                <w:lang w:eastAsia="zh-CN"/>
              </w:rPr>
              <w:t>琼</w:t>
            </w:r>
          </w:p>
        </w:tc>
        <w:tc>
          <w:tcPr>
            <w:tcW w:w="99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女</w:t>
            </w:r>
          </w:p>
        </w:tc>
        <w:tc>
          <w:tcPr>
            <w:tcW w:w="1701"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高级农艺师</w:t>
            </w:r>
          </w:p>
        </w:tc>
        <w:tc>
          <w:tcPr>
            <w:tcW w:w="347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太原市农业技术推广服务中心</w:t>
            </w:r>
          </w:p>
        </w:tc>
        <w:tc>
          <w:tcPr>
            <w:tcW w:w="126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李</w:t>
            </w:r>
            <w:r>
              <w:rPr>
                <w:rFonts w:hint="eastAsia" w:ascii="仿宋" w:hAnsi="仿宋" w:eastAsia="仿宋" w:cs="Courier New"/>
                <w:sz w:val="24"/>
                <w:szCs w:val="24"/>
                <w:lang w:val="en-US" w:eastAsia="zh-CN"/>
              </w:rPr>
              <w:t xml:space="preserve">  </w:t>
            </w:r>
            <w:r>
              <w:rPr>
                <w:rFonts w:hint="eastAsia" w:ascii="仿宋" w:hAnsi="仿宋" w:eastAsia="仿宋" w:cs="Courier New"/>
                <w:sz w:val="24"/>
                <w:szCs w:val="24"/>
                <w:lang w:eastAsia="zh-CN"/>
              </w:rPr>
              <w:t>霞</w:t>
            </w:r>
          </w:p>
        </w:tc>
        <w:tc>
          <w:tcPr>
            <w:tcW w:w="99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女</w:t>
            </w:r>
          </w:p>
        </w:tc>
        <w:tc>
          <w:tcPr>
            <w:tcW w:w="1701"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推广研究员</w:t>
            </w:r>
          </w:p>
        </w:tc>
        <w:tc>
          <w:tcPr>
            <w:tcW w:w="347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临汾市农业生态保护发展中心</w:t>
            </w:r>
          </w:p>
        </w:tc>
        <w:tc>
          <w:tcPr>
            <w:tcW w:w="126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白育铭</w:t>
            </w:r>
          </w:p>
        </w:tc>
        <w:tc>
          <w:tcPr>
            <w:tcW w:w="993"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男</w:t>
            </w:r>
          </w:p>
        </w:tc>
        <w:tc>
          <w:tcPr>
            <w:tcW w:w="1701"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农艺师</w:t>
            </w:r>
          </w:p>
        </w:tc>
        <w:tc>
          <w:tcPr>
            <w:tcW w:w="347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吕梁市农业技术推广服务中心</w:t>
            </w:r>
          </w:p>
        </w:tc>
        <w:tc>
          <w:tcPr>
            <w:tcW w:w="1263"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李云飞</w:t>
            </w:r>
          </w:p>
        </w:tc>
        <w:tc>
          <w:tcPr>
            <w:tcW w:w="993"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男</w:t>
            </w:r>
          </w:p>
        </w:tc>
        <w:tc>
          <w:tcPr>
            <w:tcW w:w="1701"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高级农艺师</w:t>
            </w:r>
          </w:p>
        </w:tc>
        <w:tc>
          <w:tcPr>
            <w:tcW w:w="347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山西省农业农村大数据中心</w:t>
            </w:r>
          </w:p>
        </w:tc>
        <w:tc>
          <w:tcPr>
            <w:tcW w:w="1263"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王</w:t>
            </w:r>
            <w:r>
              <w:rPr>
                <w:rFonts w:hint="eastAsia" w:ascii="仿宋" w:hAnsi="仿宋" w:eastAsia="仿宋" w:cs="Courier New"/>
                <w:sz w:val="24"/>
                <w:szCs w:val="24"/>
                <w:lang w:val="en-US" w:eastAsia="zh-CN"/>
              </w:rPr>
              <w:t xml:space="preserve">  </w:t>
            </w:r>
            <w:r>
              <w:rPr>
                <w:rFonts w:hint="eastAsia" w:ascii="仿宋" w:hAnsi="仿宋" w:eastAsia="仿宋" w:cs="Courier New"/>
                <w:sz w:val="24"/>
                <w:szCs w:val="24"/>
                <w:lang w:eastAsia="zh-CN"/>
              </w:rPr>
              <w:t>莉</w:t>
            </w:r>
          </w:p>
        </w:tc>
        <w:tc>
          <w:tcPr>
            <w:tcW w:w="99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女</w:t>
            </w:r>
          </w:p>
        </w:tc>
        <w:tc>
          <w:tcPr>
            <w:tcW w:w="1701"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高级农艺师</w:t>
            </w:r>
          </w:p>
        </w:tc>
        <w:tc>
          <w:tcPr>
            <w:tcW w:w="347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山西省植物保护植物检疫中心</w:t>
            </w:r>
          </w:p>
        </w:tc>
        <w:tc>
          <w:tcPr>
            <w:tcW w:w="126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郑卫锋</w:t>
            </w:r>
          </w:p>
        </w:tc>
        <w:tc>
          <w:tcPr>
            <w:tcW w:w="99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男</w:t>
            </w:r>
          </w:p>
        </w:tc>
        <w:tc>
          <w:tcPr>
            <w:tcW w:w="1701"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高级农艺师</w:t>
            </w:r>
          </w:p>
        </w:tc>
        <w:tc>
          <w:tcPr>
            <w:tcW w:w="347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山西省植物保护植物检疫中心</w:t>
            </w:r>
          </w:p>
        </w:tc>
        <w:tc>
          <w:tcPr>
            <w:tcW w:w="1263" w:type="dxa"/>
          </w:tcPr>
          <w:p>
            <w:pPr>
              <w:spacing w:line="400" w:lineRule="exact"/>
              <w:jc w:val="center"/>
              <w:rPr>
                <w:rFonts w:hint="eastAsia" w:ascii="仿宋" w:hAnsi="仿宋" w:eastAsia="仿宋" w:cs="Courier New"/>
                <w:sz w:val="24"/>
                <w:szCs w:val="24"/>
              </w:rPr>
            </w:pPr>
            <w:r>
              <w:rPr>
                <w:rFonts w:hint="eastAsia" w:ascii="仿宋" w:hAnsi="仿宋" w:eastAsia="仿宋" w:cs="Courier New"/>
                <w:sz w:val="24"/>
                <w:szCs w:val="24"/>
              </w:rPr>
              <w:t>现场调研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胡</w:t>
            </w:r>
            <w:r>
              <w:rPr>
                <w:rFonts w:hint="eastAsia" w:ascii="仿宋" w:hAnsi="仿宋" w:eastAsia="仿宋" w:cs="Courier New"/>
                <w:sz w:val="24"/>
                <w:szCs w:val="24"/>
                <w:lang w:val="en-US" w:eastAsia="zh-CN"/>
              </w:rPr>
              <w:t xml:space="preserve">  </w:t>
            </w:r>
            <w:r>
              <w:rPr>
                <w:rFonts w:hint="eastAsia" w:ascii="仿宋" w:hAnsi="仿宋" w:eastAsia="仿宋" w:cs="Courier New"/>
                <w:sz w:val="24"/>
                <w:szCs w:val="24"/>
                <w:lang w:eastAsia="zh-CN"/>
              </w:rPr>
              <w:t>浩</w:t>
            </w:r>
          </w:p>
        </w:tc>
        <w:tc>
          <w:tcPr>
            <w:tcW w:w="99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男</w:t>
            </w:r>
          </w:p>
        </w:tc>
        <w:tc>
          <w:tcPr>
            <w:tcW w:w="1701"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农艺师</w:t>
            </w:r>
          </w:p>
        </w:tc>
        <w:tc>
          <w:tcPr>
            <w:tcW w:w="347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山西省植物保护植物检疫中心</w:t>
            </w:r>
          </w:p>
        </w:tc>
        <w:tc>
          <w:tcPr>
            <w:tcW w:w="1263" w:type="dxa"/>
          </w:tcPr>
          <w:p>
            <w:pPr>
              <w:spacing w:line="400" w:lineRule="exact"/>
              <w:jc w:val="center"/>
              <w:rPr>
                <w:rFonts w:hint="eastAsia" w:ascii="仿宋" w:hAnsi="仿宋" w:eastAsia="仿宋" w:cs="Courier New"/>
                <w:sz w:val="24"/>
                <w:szCs w:val="24"/>
              </w:rPr>
            </w:pPr>
            <w:r>
              <w:rPr>
                <w:rFonts w:hint="eastAsia" w:ascii="仿宋" w:hAnsi="仿宋" w:eastAsia="仿宋" w:cs="Courier New"/>
                <w:sz w:val="24"/>
                <w:szCs w:val="24"/>
                <w:lang w:eastAsia="zh-CN"/>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李</w:t>
            </w:r>
            <w:r>
              <w:rPr>
                <w:rFonts w:hint="eastAsia" w:ascii="仿宋" w:hAnsi="仿宋" w:eastAsia="仿宋" w:cs="Courier New"/>
                <w:sz w:val="24"/>
                <w:szCs w:val="24"/>
                <w:lang w:val="en-US" w:eastAsia="zh-CN"/>
              </w:rPr>
              <w:t xml:space="preserve">  </w:t>
            </w:r>
            <w:r>
              <w:rPr>
                <w:rFonts w:hint="eastAsia" w:ascii="仿宋" w:hAnsi="仿宋" w:eastAsia="仿宋" w:cs="Courier New"/>
                <w:sz w:val="24"/>
                <w:szCs w:val="24"/>
                <w:lang w:eastAsia="zh-CN"/>
              </w:rPr>
              <w:t>静</w:t>
            </w:r>
          </w:p>
        </w:tc>
        <w:tc>
          <w:tcPr>
            <w:tcW w:w="99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女</w:t>
            </w:r>
          </w:p>
        </w:tc>
        <w:tc>
          <w:tcPr>
            <w:tcW w:w="1701"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高级农艺师</w:t>
            </w:r>
          </w:p>
        </w:tc>
        <w:tc>
          <w:tcPr>
            <w:tcW w:w="347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临汾市农业生态保护发展中心</w:t>
            </w:r>
          </w:p>
        </w:tc>
        <w:tc>
          <w:tcPr>
            <w:tcW w:w="126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秦</w:t>
            </w:r>
            <w:r>
              <w:rPr>
                <w:rFonts w:hint="eastAsia" w:ascii="仿宋" w:hAnsi="仿宋" w:eastAsia="仿宋" w:cs="Courier New"/>
                <w:sz w:val="24"/>
                <w:szCs w:val="24"/>
                <w:lang w:val="en-US" w:eastAsia="zh-CN"/>
              </w:rPr>
              <w:t xml:space="preserve">  </w:t>
            </w:r>
            <w:r>
              <w:rPr>
                <w:rFonts w:hint="eastAsia" w:ascii="仿宋" w:hAnsi="仿宋" w:eastAsia="仿宋" w:cs="Courier New"/>
                <w:sz w:val="24"/>
                <w:szCs w:val="24"/>
                <w:lang w:eastAsia="zh-CN"/>
              </w:rPr>
              <w:t>峰</w:t>
            </w:r>
          </w:p>
        </w:tc>
        <w:tc>
          <w:tcPr>
            <w:tcW w:w="99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男</w:t>
            </w:r>
          </w:p>
        </w:tc>
        <w:tc>
          <w:tcPr>
            <w:tcW w:w="1701"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高级农艺师</w:t>
            </w:r>
          </w:p>
        </w:tc>
        <w:tc>
          <w:tcPr>
            <w:tcW w:w="3472" w:type="dxa"/>
            <w:vAlign w:val="top"/>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阳泉市农业技术推广服务中心</w:t>
            </w:r>
          </w:p>
        </w:tc>
        <w:tc>
          <w:tcPr>
            <w:tcW w:w="1263" w:type="dxa"/>
          </w:tcPr>
          <w:p>
            <w:pPr>
              <w:spacing w:line="400" w:lineRule="exact"/>
              <w:jc w:val="center"/>
              <w:rPr>
                <w:rFonts w:hint="eastAsia" w:ascii="仿宋" w:hAnsi="仿宋" w:eastAsia="仿宋" w:cs="Courier New"/>
                <w:sz w:val="24"/>
                <w:szCs w:val="24"/>
                <w:lang w:eastAsia="zh-CN"/>
              </w:rPr>
            </w:pPr>
            <w:r>
              <w:rPr>
                <w:rFonts w:hint="eastAsia" w:ascii="仿宋" w:hAnsi="仿宋" w:eastAsia="仿宋" w:cs="Courier New"/>
                <w:sz w:val="24"/>
                <w:szCs w:val="24"/>
                <w:lang w:eastAsia="zh-CN"/>
              </w:rPr>
              <w:t>试验验证</w:t>
            </w: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eastAsia="黑体"/>
          <w:sz w:val="32"/>
          <w:szCs w:val="32"/>
        </w:rPr>
      </w:pPr>
      <w:r>
        <w:rPr>
          <w:rFonts w:hint="eastAsia" w:ascii="黑体" w:eastAsia="黑体"/>
          <w:sz w:val="32"/>
          <w:szCs w:val="32"/>
        </w:rPr>
        <w:t>二、修订标准的必要性和意义</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草莓因生产周期短、适于设施地栽培、经济效益高等特点，已成为我省种植业中兴起的特色产业。但随着草莓种植面积的发展，连作时间的加长，采摘园游人频繁进出，及设施地特殊的高温高湿环境条件，造成草莓病虫害逐年加重。生产中需要操作性强、实用性好、防治效果高的规范性防治技术。山西省地方标准《保护地草莓病虫害绿色防控技术规程》DB 14/T 1214—2016的颁布实施，为草莓病虫害科学防治提供了有力技术支撑。由于该标准颁布实施已6年，部分内容和引用标准已不适用有关政策和产业发展，需进一步修改完善，以满足新阶段设施地草莓生产需要。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eastAsia="黑体"/>
          <w:sz w:val="32"/>
          <w:szCs w:val="32"/>
        </w:rPr>
      </w:pPr>
      <w:r>
        <w:rPr>
          <w:rFonts w:hint="eastAsia" w:ascii="黑体" w:eastAsia="黑体"/>
          <w:sz w:val="32"/>
          <w:szCs w:val="32"/>
        </w:rPr>
        <w:t>三、主要修订工作过程</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1、成立标准修订工作组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bCs/>
          <w:sz w:val="32"/>
          <w:szCs w:val="32"/>
          <w:lang w:val="en-US" w:eastAsia="zh-CN"/>
        </w:rPr>
      </w:pPr>
      <w:r>
        <w:rPr>
          <w:rFonts w:hint="eastAsia" w:ascii="Times New Roman" w:hAnsi="Times New Roman" w:eastAsia="仿宋" w:cs="Times New Roman"/>
          <w:sz w:val="32"/>
          <w:szCs w:val="32"/>
          <w:lang w:val="en-US" w:eastAsia="zh-CN"/>
        </w:rPr>
        <w:t>2022年10-12月，山西省市场监督管理局印发《关于2022年度省级地方标准复审结论公告》的通知后，省植保中心成立了标准修订工作组。组织修订工作人员，制定了工作计划，明确标准修订分工，采取线上+线下的方式进行了及时沟通，保证了工作的顺利进行。</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2、调研考察</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2023年3月-4月，起草工作组深入我省运城、太原、晋中市草莓栽培面积较大的县（区）进行草莓病虫害发生现状及防治技术需求调研，重点掌握了各地近年草莓病虫害发生情况、防治措施，系统总结了草莓不同生育期生长发育习性及病虫防控关键时期的实用、高效、安全技术，确定了编写内容，了解了草莓病虫害绿色防控做法、成效。</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3、收集资料</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2023年5-7月，标准工作组查阅了草莓病虫害绿色防控相关的国家标准、行业标准以及省级地方标准。经查询，关于草莓病虫害绿色防控标准，尚无国家标准和行业标准，地方标准6个涉及安徽、山西、江苏、河南、天津、黑龙江6个省份。修订起草组还查阅了有关草莓病虫害绿色防控论文和书籍，整理了近6年的草莓病虫绿色防控技术经验做法，分析了我省草莓生产中病虫害防控存在的问题并提出了改进建议，为本标准修订提供实际参考。</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4、修订文本</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标准工作组于2023年8月着手标准文稿的起草工作，编制了征求意见稿，10月将征求意见稿发送各位植保专家和相关实施单位，各专家与实施单位于10月中旬左右反馈回来各自修改稿，通过科学分析采纳形成了该标准修订文本的送审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5、标准评审</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2024年3月2日，在省园艺中心五层会议室，与会专家听取了起草单位对《保护地草莓病虫害绿色防控技术规程》的修订情况汇报，并对标准送审稿和编制说明进行了标准评审，经质询讨论，提出了修改意见。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eastAsia="黑体"/>
          <w:sz w:val="32"/>
          <w:szCs w:val="32"/>
        </w:rPr>
      </w:pPr>
      <w:r>
        <w:rPr>
          <w:rFonts w:hint="eastAsia" w:ascii="黑体" w:eastAsia="黑体"/>
          <w:sz w:val="32"/>
          <w:szCs w:val="32"/>
        </w:rPr>
        <w:t>四、</w:t>
      </w:r>
      <w:r>
        <w:rPr>
          <w:rFonts w:hint="eastAsia" w:ascii="黑体" w:eastAsia="黑体"/>
          <w:sz w:val="32"/>
          <w:szCs w:val="32"/>
          <w:lang w:eastAsia="zh-CN"/>
        </w:rPr>
        <w:t>制修</w:t>
      </w:r>
      <w:r>
        <w:rPr>
          <w:rFonts w:hint="eastAsia" w:ascii="黑体" w:eastAsia="黑体"/>
          <w:sz w:val="32"/>
          <w:szCs w:val="32"/>
        </w:rPr>
        <w:t>订标准的原则和依据，与现行法律、法规、标准的关系</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本标准严格按照《中华人民共和国标准法》、《中华人民共和国农业法》、《生物安全法》《农作物病虫害防治条例》等有关法律和质量技术监督局《农业标准化管理办法》、山西省地方标准《地方标准制定工作规范》DB14/T 1665 《技术审查工作规范》等规章执行。本标准根据GB/T 1.1—2020《标准化工作导则  第1部分：标准化文件的结构和起草规则》的规定起草，内容和要求参照了相关法律规则，引用了现行的国家标准和行业标准，与现行法律、法规及强制标准没有冲突。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eastAsia="黑体"/>
          <w:sz w:val="32"/>
          <w:szCs w:val="32"/>
        </w:rPr>
      </w:pPr>
      <w:r>
        <w:rPr>
          <w:rFonts w:hint="eastAsia" w:ascii="黑体" w:eastAsia="黑体"/>
          <w:sz w:val="32"/>
          <w:szCs w:val="32"/>
        </w:rPr>
        <w:t>五、主要条款的说明，主要技术指标、参数、试验验证的分析、综合论述</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标准起草组以“合法性、安全性、适应性、协调性和先进性”为修订原则，以文本结构更加合理、表述更加准确、技术指标更加科学为修订目标，从三个方面对文本进行了修订，其中：</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1、涉及结构性调整的主要有2项：</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（1）增加了“防治对象”一章。</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修订原因：文本结构层次更加鲜明清晰。</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（2）删除了原文本中的附录A“草莓生产中禁止使用的农药”。</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修订原因：一是草莓生产中禁止使用的农药种类，会随国家政策要求不断调整，如列为文本附件，需及时跟进更新，本标准也将因此增加修订的频次；二是清单中大部分禁止用药种类已禁止生产多年。三是此部分内容为国家强制要求，而本标准为推荐性技术标准。</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（3）增加了生产档案</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修订原因：文章内容更加完整，生产实施过程有据可查。</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2、涉及表述与编辑性修改的主要有2项：</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（1）修改标题。</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修订原因：更加符合现在草莓生产实际。</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（2）将“4防治原则”修改为“4防治要求”</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修订原因：章节题目与文本内容更加贴切。</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3、涉及到的技术指标主要有2项：</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default" w:ascii="Times New Roman" w:hAnsi="Times New Roman" w:eastAsia="仿宋" w:cs="Times New Roman"/>
          <w:sz w:val="32"/>
          <w:szCs w:val="32"/>
          <w:lang w:val="en" w:eastAsia="zh-CN"/>
        </w:rPr>
      </w:pPr>
      <w:r>
        <w:rPr>
          <w:rFonts w:hint="eastAsia" w:ascii="Times New Roman" w:hAnsi="Times New Roman" w:eastAsia="仿宋" w:cs="Times New Roman"/>
          <w:sz w:val="32"/>
          <w:szCs w:val="32"/>
          <w:lang w:val="en-US" w:eastAsia="zh-CN"/>
        </w:rPr>
        <w:t>（1）更改了文本“规范性引用文件”中的部分引用标准。具体删除了GB4285农药安全使用标准，增加了GB2763和NY</w:t>
      </w:r>
      <w:r>
        <w:rPr>
          <w:rFonts w:hint="default" w:ascii="Times New Roman" w:hAnsi="Times New Roman" w:eastAsia="仿宋" w:cs="Times New Roman"/>
          <w:sz w:val="32"/>
          <w:szCs w:val="32"/>
          <w:lang w:val="en" w:eastAsia="zh-CN"/>
        </w:rPr>
        <w:t>/T1276</w:t>
      </w:r>
      <w:r>
        <w:rPr>
          <w:rFonts w:hint="eastAsia" w:ascii="Times New Roman" w:hAnsi="Times New Roman" w:eastAsia="仿宋" w:cs="Times New Roman"/>
          <w:sz w:val="32"/>
          <w:szCs w:val="32"/>
          <w:lang w:val="en"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修订原因：GB 4285 此项标准已废止。GB 2763和NY</w:t>
      </w:r>
      <w:r>
        <w:rPr>
          <w:rFonts w:hint="default" w:ascii="Times New Roman" w:hAnsi="Times New Roman" w:eastAsia="仿宋" w:cs="Times New Roman"/>
          <w:sz w:val="32"/>
          <w:szCs w:val="32"/>
          <w:lang w:val="en" w:eastAsia="zh-CN"/>
        </w:rPr>
        <w:t>/T1276</w:t>
      </w:r>
      <w:r>
        <w:rPr>
          <w:rFonts w:hint="eastAsia" w:ascii="Times New Roman" w:hAnsi="Times New Roman" w:eastAsia="仿宋" w:cs="Times New Roman"/>
          <w:sz w:val="32"/>
          <w:szCs w:val="32"/>
          <w:lang w:val="en" w:eastAsia="zh-CN"/>
        </w:rPr>
        <w:t>满足现在生产实际要求。</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（2）修改资料性附录B“草莓主要病虫绿色防控推荐的农药”内容。</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“表B.1 农药名称及剂量（有效成分）修改为农药名称及用药量（制剂量</w:t>
      </w:r>
      <w:r>
        <w:rPr>
          <w:rFonts w:hint="default" w:ascii="Times New Roman" w:hAnsi="Times New Roman" w:eastAsia="仿宋" w:cs="Times New Roman"/>
          <w:sz w:val="32"/>
          <w:szCs w:val="32"/>
          <w:lang w:val="en" w:eastAsia="zh-CN"/>
        </w:rPr>
        <w:t>/667</w:t>
      </w:r>
      <w:r>
        <w:rPr>
          <w:rFonts w:hint="eastAsia" w:ascii="Times New Roman" w:hAnsi="Times New Roman" w:eastAsia="仿宋" w:cs="Times New Roman"/>
          <w:sz w:val="32"/>
          <w:szCs w:val="32"/>
          <w:lang w:val="en-US" w:eastAsia="zh-CN"/>
        </w:rPr>
        <w:t>m2）。</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修改原因：现农药用量规范使用法。</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表B.1中推荐使用农药删除了“蛇眼病、褐斑病、炭疽病”防治用药“17%唑醚•氟环唑悬乳剂”；删除了“根结线虫”防治用药10％噻唑膦颗粒剂。</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删减原因：未在草莓或相应防治对象上登记，属于超范围推荐农药。</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表 B.1中推荐使用农药“根腐病”防治用药以“98%棉隆微粒剂”替代了25g/l咯菌腈悬浮种衣剂、300g/l精甲霜灵种子处理乳剂、2％宁南霉素水剂。</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替代原因：这三种农药未在草莓或相应防治对象上登记。推荐使用的98%棉隆微粒剂，该药属于草莓上登记用药，且是低毒杀菌，杀线虫剂，同时兼治地下害虫和防除杂草，目前已有众多企业针对草莓进行了登记，也在我省草莓主产区使用范围广、防效果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eastAsia="黑体"/>
          <w:sz w:val="32"/>
          <w:szCs w:val="32"/>
        </w:rPr>
      </w:pPr>
      <w:r>
        <w:rPr>
          <w:rFonts w:hint="eastAsia" w:ascii="黑体" w:eastAsia="黑体"/>
          <w:sz w:val="32"/>
          <w:szCs w:val="32"/>
        </w:rPr>
        <w:t>六、重大意见分歧的处理依据和结果</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本标准无重大意见分歧。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eastAsia="黑体"/>
          <w:sz w:val="32"/>
          <w:szCs w:val="32"/>
        </w:rPr>
      </w:pPr>
      <w:r>
        <w:rPr>
          <w:rFonts w:hint="eastAsia" w:ascii="黑体" w:eastAsia="黑体"/>
          <w:sz w:val="32"/>
          <w:szCs w:val="32"/>
        </w:rPr>
        <w:t>七、采标情况，是否合规引用或采用国际标准和国外先进标准，以及与国内外同类标准水平的对比情况</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本标准没有采用国际标准和国外先进标准。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eastAsia="黑体"/>
          <w:sz w:val="32"/>
          <w:szCs w:val="32"/>
          <w:lang w:val="en-US" w:eastAsia="zh-CN"/>
        </w:rPr>
      </w:pPr>
      <w:r>
        <w:rPr>
          <w:rFonts w:hint="eastAsia" w:ascii="黑体" w:eastAsia="黑体"/>
          <w:sz w:val="32"/>
          <w:szCs w:val="32"/>
          <w:lang w:val="en-US" w:eastAsia="zh-CN"/>
        </w:rPr>
        <w:t>八、作为推荐性标准或者强制性标准的建议及其理由</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建议本标准为推荐性标准。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黑体" w:eastAsia="黑体"/>
          <w:sz w:val="32"/>
          <w:szCs w:val="32"/>
          <w:lang w:val="en-US" w:eastAsia="zh-CN"/>
        </w:rPr>
      </w:pPr>
      <w:r>
        <w:rPr>
          <w:rFonts w:hint="eastAsia" w:ascii="黑体" w:eastAsia="黑体"/>
          <w:sz w:val="32"/>
          <w:szCs w:val="32"/>
          <w:lang w:val="en-US" w:eastAsia="zh-CN"/>
        </w:rPr>
        <w:t>九、实施标准的措施建议</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1、通过草莓绿色防控示范区基地建设，推进标准实施和应用，进而努力打造标准化示范基地建设。</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2、充分借用山西省农业农村发布、电视、广播、报刊、网络、微信公众号等平台专题介绍标准内容，结合培训活动、基层技术指导活动等广泛开展标准宣传。</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1"/>
        <w:rPr>
          <w:rFonts w:hint="eastAsia" w:ascii="Times New Roman" w:hAnsi="Times New Roman" w:eastAsia="仿宋" w:cs="Times New Roman"/>
          <w:sz w:val="32"/>
          <w:szCs w:val="32"/>
          <w:lang w:val="en-US" w:eastAsia="zh-CN"/>
        </w:rPr>
        <w:sectPr>
          <w:footerReference r:id="rId5" w:type="first"/>
          <w:footerReference r:id="rId4" w:type="default"/>
          <w:pgSz w:w="11906" w:h="16838"/>
          <w:pgMar w:top="1440" w:right="1803" w:bottom="1440" w:left="1803" w:header="851" w:footer="992" w:gutter="0"/>
          <w:pgNumType w:fmt="decimal" w:start="1"/>
          <w:cols w:space="0" w:num="1"/>
          <w:titlePg/>
          <w:rtlGutter w:val="0"/>
          <w:docGrid w:type="lines" w:linePitch="319" w:charSpace="0"/>
        </w:sectPr>
      </w:pPr>
      <w:r>
        <w:rPr>
          <w:rFonts w:hint="eastAsia" w:ascii="Times New Roman" w:hAnsi="Times New Roman" w:eastAsia="仿宋" w:cs="Times New Roman"/>
          <w:sz w:val="32"/>
          <w:szCs w:val="32"/>
          <w:lang w:val="en-US" w:eastAsia="zh-CN"/>
        </w:rPr>
        <w:t>3、过举办培训班、召开现场会、远程教育、专家讲座和科技直通车进村入户等方式，现场技术指导，推广标准应用。</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附表</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山西省省级地方标准</w:t>
      </w:r>
      <w:r>
        <w:rPr>
          <w:rFonts w:hint="eastAsia" w:ascii="方正小标宋简体" w:hAnsi="方正小标宋简体" w:eastAsia="方正小标宋简体" w:cs="方正小标宋简体"/>
          <w:color w:val="auto"/>
          <w:sz w:val="44"/>
          <w:szCs w:val="44"/>
          <w:lang w:val="en-US" w:eastAsia="zh-CN"/>
        </w:rPr>
        <w:t>征求</w:t>
      </w:r>
      <w:r>
        <w:rPr>
          <w:rFonts w:hint="eastAsia" w:ascii="方正小标宋简体" w:hAnsi="方正小标宋简体" w:eastAsia="方正小标宋简体" w:cs="方正小标宋简体"/>
          <w:color w:val="auto"/>
          <w:sz w:val="44"/>
          <w:szCs w:val="44"/>
        </w:rPr>
        <w:t>意见汇总处理表</w:t>
      </w:r>
    </w:p>
    <w:p>
      <w:pPr>
        <w:pStyle w:val="7"/>
        <w:ind w:left="0" w:leftChars="0" w:firstLine="0" w:firstLineChars="0"/>
        <w:rPr>
          <w:rFonts w:hint="eastAsia" w:ascii="Times New Roman" w:hAnsi="Times New Roman" w:cs="Times New Roman"/>
          <w:color w:val="auto"/>
          <w:sz w:val="24"/>
          <w:szCs w:val="24"/>
          <w:lang w:val="en-US" w:eastAsia="zh-CN"/>
        </w:rPr>
      </w:pPr>
    </w:p>
    <w:p>
      <w:pPr>
        <w:pStyle w:val="7"/>
        <w:ind w:left="0" w:leftChars="0" w:firstLine="0" w:firstLineChars="0"/>
        <w:rPr>
          <w:rFonts w:hint="eastAsia" w:ascii="方正仿宋_GBK" w:hAnsi="方正仿宋_GBK" w:eastAsia="方正仿宋_GBK" w:cs="方正仿宋_GBK"/>
          <w:color w:val="auto"/>
          <w:sz w:val="24"/>
          <w:szCs w:val="24"/>
          <w:lang w:val="en-US" w:eastAsia="zh-CN"/>
        </w:rPr>
      </w:pPr>
      <w:r>
        <w:rPr>
          <w:rFonts w:hint="eastAsia" w:ascii="方正仿宋_GBK" w:hAnsi="方正仿宋_GBK" w:eastAsia="方正仿宋_GBK" w:cs="方正仿宋_GBK"/>
          <w:color w:val="auto"/>
          <w:sz w:val="24"/>
          <w:szCs w:val="24"/>
          <w:lang w:val="en-US" w:eastAsia="zh-CN"/>
        </w:rPr>
        <w:t>起草单位：山西省植物保护植物检疫中心    承办人：张东霞      联系电话：18635134558   填写时间：2023年10月20日</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529"/>
        <w:gridCol w:w="5969"/>
        <w:gridCol w:w="1969"/>
        <w:gridCol w:w="1697"/>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序号</w:t>
            </w:r>
          </w:p>
        </w:tc>
        <w:tc>
          <w:tcPr>
            <w:tcW w:w="1529" w:type="dxa"/>
            <w:vAlign w:val="center"/>
          </w:tcPr>
          <w:p>
            <w:pPr>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标准章条编号</w:t>
            </w:r>
          </w:p>
        </w:tc>
        <w:tc>
          <w:tcPr>
            <w:tcW w:w="5969" w:type="dxa"/>
            <w:vAlign w:val="center"/>
          </w:tcPr>
          <w:p>
            <w:pPr>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意见内容</w:t>
            </w:r>
          </w:p>
        </w:tc>
        <w:tc>
          <w:tcPr>
            <w:tcW w:w="1969" w:type="dxa"/>
            <w:vAlign w:val="center"/>
          </w:tcPr>
          <w:p>
            <w:pPr>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提出单位（或个人）</w:t>
            </w:r>
          </w:p>
        </w:tc>
        <w:tc>
          <w:tcPr>
            <w:tcW w:w="1697" w:type="dxa"/>
            <w:vAlign w:val="center"/>
          </w:tcPr>
          <w:p>
            <w:pPr>
              <w:keepNext w:val="0"/>
              <w:keepLines w:val="0"/>
              <w:pageBreakBefore w:val="0"/>
              <w:widowControl w:val="0"/>
              <w:kinsoku/>
              <w:wordWrap/>
              <w:overflowPunct/>
              <w:topLinePunct w:val="0"/>
              <w:autoSpaceDE/>
              <w:autoSpaceDN/>
              <w:bidi w:val="0"/>
              <w:adjustRightInd/>
              <w:spacing w:line="320" w:lineRule="exact"/>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处理意见</w:t>
            </w:r>
          </w:p>
          <w:p>
            <w:pPr>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（采纳/不采纳）</w:t>
            </w:r>
          </w:p>
        </w:tc>
        <w:tc>
          <w:tcPr>
            <w:tcW w:w="2095" w:type="dxa"/>
            <w:vAlign w:val="center"/>
          </w:tcPr>
          <w:p>
            <w:pPr>
              <w:keepNext w:val="0"/>
              <w:keepLines w:val="0"/>
              <w:pageBreakBefore w:val="0"/>
              <w:widowControl w:val="0"/>
              <w:kinsoku/>
              <w:wordWrap/>
              <w:overflowPunct/>
              <w:topLinePunct w:val="0"/>
              <w:autoSpaceDE/>
              <w:autoSpaceDN/>
              <w:bidi w:val="0"/>
              <w:adjustRightInd/>
              <w:spacing w:line="320" w:lineRule="exact"/>
              <w:jc w:val="center"/>
              <w:textAlignment w:val="auto"/>
              <w:rPr>
                <w:rFonts w:hint="eastAsia" w:cs="Times New Roman"/>
                <w:color w:val="auto"/>
                <w:sz w:val="21"/>
                <w:szCs w:val="21"/>
                <w:vertAlign w:val="baseline"/>
                <w:lang w:val="en-US" w:eastAsia="zh-CN"/>
              </w:rPr>
            </w:pPr>
            <w:r>
              <w:rPr>
                <w:rFonts w:hint="eastAsia" w:cs="Times New Roman"/>
                <w:color w:val="auto"/>
                <w:sz w:val="21"/>
                <w:szCs w:val="21"/>
                <w:vertAlign w:val="baseline"/>
                <w:lang w:val="en-US" w:eastAsia="zh-CN"/>
              </w:rPr>
              <w:t>意见处理说明</w:t>
            </w:r>
          </w:p>
          <w:p>
            <w:pPr>
              <w:keepNext w:val="0"/>
              <w:keepLines w:val="0"/>
              <w:pageBreakBefore w:val="0"/>
              <w:widowControl w:val="0"/>
              <w:kinsoku/>
              <w:wordWrap/>
              <w:overflowPunct/>
              <w:topLinePunct w:val="0"/>
              <w:autoSpaceDE/>
              <w:autoSpaceDN/>
              <w:bidi w:val="0"/>
              <w:adjustRightInd/>
              <w:spacing w:line="320" w:lineRule="exact"/>
              <w:jc w:val="center"/>
              <w:textAlignment w:val="auto"/>
              <w:rPr>
                <w:rFonts w:hint="default" w:ascii="Times New Roman" w:hAnsi="Times New Roman" w:cs="Times New Roman"/>
                <w:color w:val="auto"/>
                <w:sz w:val="21"/>
                <w:szCs w:val="21"/>
                <w:vertAlign w:val="baseline"/>
                <w:lang w:val="en-US" w:eastAsia="zh-CN"/>
              </w:rPr>
            </w:pPr>
            <w:r>
              <w:rPr>
                <w:rFonts w:hint="eastAsia" w:cs="Times New Roman"/>
                <w:color w:val="auto"/>
                <w:sz w:val="21"/>
                <w:szCs w:val="21"/>
                <w:vertAlign w:val="baseline"/>
                <w:lang w:val="en-US" w:eastAsia="zh-CN"/>
              </w:rPr>
              <w:t>（不采纳的理由等）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33"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4"/>
                <w:lang w:val="en-US" w:eastAsia="zh-CN"/>
              </w:rPr>
            </w:pPr>
            <w:r>
              <w:rPr>
                <w:rFonts w:hint="eastAsia" w:eastAsia="仿宋_GB2312"/>
                <w:bCs/>
                <w:sz w:val="24"/>
                <w:lang w:val="en-US" w:eastAsia="zh-CN"/>
              </w:rPr>
              <w:t>1</w:t>
            </w:r>
          </w:p>
        </w:tc>
        <w:tc>
          <w:tcPr>
            <w:tcW w:w="1529"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1"/>
                <w:szCs w:val="21"/>
                <w:lang w:val="en" w:eastAsia="zh-CN"/>
              </w:rPr>
            </w:pPr>
            <w:r>
              <w:rPr>
                <w:rFonts w:hint="eastAsia" w:eastAsia="仿宋_GB2312"/>
                <w:bCs/>
                <w:sz w:val="21"/>
                <w:szCs w:val="21"/>
                <w:lang w:val="en" w:eastAsia="zh-CN"/>
              </w:rPr>
              <w:t>全文</w:t>
            </w:r>
          </w:p>
        </w:tc>
        <w:tc>
          <w:tcPr>
            <w:tcW w:w="5969"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eastAsia" w:eastAsia="仿宋_GB2312"/>
                <w:bCs/>
                <w:sz w:val="21"/>
                <w:szCs w:val="21"/>
                <w:lang w:val="en-US" w:eastAsia="zh-CN"/>
              </w:rPr>
            </w:pPr>
            <w:r>
              <w:rPr>
                <w:rFonts w:hint="eastAsia"/>
                <w:sz w:val="21"/>
                <w:szCs w:val="21"/>
                <w:lang w:eastAsia="zh-CN"/>
              </w:rPr>
              <w:t>全文结构再分明清晰</w:t>
            </w:r>
          </w:p>
        </w:tc>
        <w:tc>
          <w:tcPr>
            <w:tcW w:w="196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1"/>
                <w:szCs w:val="21"/>
                <w:lang w:val="en-US" w:eastAsia="zh-CN"/>
              </w:rPr>
            </w:pPr>
            <w:r>
              <w:rPr>
                <w:rFonts w:hint="eastAsia" w:eastAsia="仿宋_GB2312"/>
                <w:bCs/>
                <w:sz w:val="21"/>
                <w:szCs w:val="21"/>
                <w:lang w:val="en-US" w:eastAsia="zh-CN"/>
              </w:rPr>
              <w:t>太原市农业技术推广中心</w:t>
            </w:r>
          </w:p>
        </w:tc>
        <w:tc>
          <w:tcPr>
            <w:tcW w:w="1697"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eastAsia" w:eastAsia="仿宋_GB2312"/>
                <w:bCs/>
                <w:sz w:val="21"/>
                <w:szCs w:val="21"/>
                <w:lang w:val="en-US" w:eastAsia="zh-CN"/>
              </w:rPr>
            </w:pPr>
            <w:r>
              <w:rPr>
                <w:rFonts w:hint="default" w:eastAsia="仿宋_GB2312"/>
                <w:bCs/>
                <w:sz w:val="21"/>
                <w:szCs w:val="21"/>
                <w:lang w:val="en-US" w:eastAsia="zh-CN"/>
              </w:rPr>
              <w:t>采纳</w:t>
            </w:r>
          </w:p>
        </w:tc>
        <w:tc>
          <w:tcPr>
            <w:tcW w:w="2095" w:type="dxa"/>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eastAsia="仿宋_GB2312"/>
                <w:bCs/>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4"/>
                <w:lang w:val="en-US" w:eastAsia="zh-CN"/>
              </w:rPr>
            </w:pPr>
            <w:r>
              <w:rPr>
                <w:rFonts w:hint="eastAsia" w:eastAsia="仿宋_GB2312"/>
                <w:bCs/>
                <w:sz w:val="24"/>
                <w:lang w:val="en-US" w:eastAsia="zh-CN"/>
              </w:rPr>
              <w:t>2</w:t>
            </w:r>
          </w:p>
        </w:tc>
        <w:tc>
          <w:tcPr>
            <w:tcW w:w="1529"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1"/>
                <w:szCs w:val="21"/>
                <w:lang w:val="en" w:eastAsia="zh-CN"/>
              </w:rPr>
            </w:pPr>
            <w:r>
              <w:rPr>
                <w:rFonts w:hint="eastAsia" w:eastAsia="仿宋_GB2312"/>
                <w:bCs/>
                <w:sz w:val="21"/>
                <w:szCs w:val="21"/>
                <w:lang w:val="en" w:eastAsia="zh-CN"/>
              </w:rPr>
              <w:t>全文</w:t>
            </w:r>
          </w:p>
        </w:tc>
        <w:tc>
          <w:tcPr>
            <w:tcW w:w="5969" w:type="dxa"/>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default" w:eastAsia="仿宋_GB2312"/>
                <w:bCs/>
                <w:sz w:val="21"/>
                <w:szCs w:val="21"/>
                <w:lang w:val="en-US" w:eastAsia="zh-CN"/>
              </w:rPr>
            </w:pPr>
            <w:r>
              <w:rPr>
                <w:rFonts w:hint="eastAsia" w:eastAsia="仿宋_GB2312"/>
                <w:bCs/>
                <w:sz w:val="21"/>
                <w:szCs w:val="21"/>
                <w:lang w:val="en-US" w:eastAsia="zh-CN"/>
              </w:rPr>
              <w:t>全文</w:t>
            </w:r>
            <w:r>
              <w:rPr>
                <w:rFonts w:hint="default" w:eastAsia="仿宋_GB2312"/>
                <w:bCs/>
                <w:sz w:val="21"/>
                <w:szCs w:val="21"/>
                <w:lang w:val="en-US" w:eastAsia="zh-CN"/>
              </w:rPr>
              <w:t>”</w:t>
            </w:r>
            <w:r>
              <w:rPr>
                <w:rFonts w:hint="eastAsia" w:eastAsia="仿宋_GB2312"/>
                <w:bCs/>
                <w:sz w:val="21"/>
                <w:szCs w:val="21"/>
                <w:lang w:val="en-US" w:eastAsia="zh-CN"/>
              </w:rPr>
              <w:t>天</w:t>
            </w:r>
            <w:r>
              <w:rPr>
                <w:rFonts w:hint="default" w:eastAsia="仿宋_GB2312"/>
                <w:bCs/>
                <w:sz w:val="21"/>
                <w:szCs w:val="21"/>
                <w:lang w:val="en-US" w:eastAsia="zh-CN"/>
              </w:rPr>
              <w:t>””</w:t>
            </w:r>
            <w:r>
              <w:rPr>
                <w:rFonts w:hint="default" w:eastAsia="仿宋_GB2312"/>
                <w:bCs/>
                <w:sz w:val="21"/>
                <w:szCs w:val="21"/>
                <w:lang w:val="en" w:eastAsia="zh-CN"/>
              </w:rPr>
              <w:t>d</w:t>
            </w:r>
            <w:r>
              <w:rPr>
                <w:rFonts w:hint="default" w:eastAsia="仿宋_GB2312"/>
                <w:bCs/>
                <w:sz w:val="21"/>
                <w:szCs w:val="21"/>
                <w:lang w:val="en-US" w:eastAsia="zh-CN"/>
              </w:rPr>
              <w:t>”</w:t>
            </w:r>
            <w:r>
              <w:rPr>
                <w:rFonts w:hint="eastAsia" w:eastAsia="仿宋_GB2312"/>
                <w:bCs/>
                <w:sz w:val="21"/>
                <w:szCs w:val="21"/>
                <w:lang w:val="en-US" w:eastAsia="zh-CN"/>
              </w:rPr>
              <w:t>统一用</w:t>
            </w:r>
            <w:r>
              <w:rPr>
                <w:rFonts w:hint="default" w:eastAsia="仿宋_GB2312"/>
                <w:bCs/>
                <w:sz w:val="21"/>
                <w:szCs w:val="21"/>
                <w:lang w:val="en-US" w:eastAsia="zh-CN"/>
              </w:rPr>
              <w:t>”</w:t>
            </w:r>
            <w:r>
              <w:rPr>
                <w:rFonts w:hint="eastAsia" w:eastAsia="仿宋_GB2312"/>
                <w:bCs/>
                <w:sz w:val="21"/>
                <w:szCs w:val="21"/>
                <w:lang w:val="en-US" w:eastAsia="zh-CN"/>
              </w:rPr>
              <w:t>d</w:t>
            </w:r>
            <w:r>
              <w:rPr>
                <w:rFonts w:hint="default" w:eastAsia="仿宋_GB2312"/>
                <w:bCs/>
                <w:sz w:val="21"/>
                <w:szCs w:val="21"/>
                <w:lang w:val="en-US" w:eastAsia="zh-CN"/>
              </w:rPr>
              <w:t>”</w:t>
            </w:r>
          </w:p>
        </w:tc>
        <w:tc>
          <w:tcPr>
            <w:tcW w:w="19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1"/>
                <w:szCs w:val="21"/>
                <w:lang w:val="en-US" w:eastAsia="zh-CN"/>
              </w:rPr>
            </w:pPr>
          </w:p>
        </w:tc>
        <w:tc>
          <w:tcPr>
            <w:tcW w:w="1697"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1"/>
                <w:szCs w:val="21"/>
                <w:lang w:val="en-US" w:eastAsia="zh-CN"/>
              </w:rPr>
            </w:pPr>
            <w:r>
              <w:rPr>
                <w:rFonts w:hint="eastAsia" w:eastAsia="仿宋_GB2312"/>
                <w:bCs/>
                <w:sz w:val="21"/>
                <w:szCs w:val="21"/>
                <w:lang w:val="en-US" w:eastAsia="zh-CN"/>
              </w:rPr>
              <w:t>采纳</w:t>
            </w:r>
          </w:p>
        </w:tc>
        <w:tc>
          <w:tcPr>
            <w:tcW w:w="2095" w:type="dxa"/>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eastAsia="仿宋_GB2312"/>
                <w:bCs/>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4"/>
                <w:lang w:val="en-US" w:eastAsia="zh-CN"/>
              </w:rPr>
            </w:pPr>
            <w:r>
              <w:rPr>
                <w:rFonts w:hint="eastAsia" w:eastAsia="仿宋_GB2312"/>
                <w:bCs/>
                <w:sz w:val="24"/>
                <w:lang w:val="en-US" w:eastAsia="zh-CN"/>
              </w:rPr>
              <w:t>3</w:t>
            </w:r>
          </w:p>
        </w:tc>
        <w:tc>
          <w:tcPr>
            <w:tcW w:w="1529"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Cs/>
                <w:kern w:val="2"/>
                <w:sz w:val="21"/>
                <w:szCs w:val="21"/>
                <w:lang w:val="en-US" w:eastAsia="zh-CN" w:bidi="ar-SA"/>
              </w:rPr>
            </w:pPr>
            <w:r>
              <w:rPr>
                <w:rFonts w:hint="eastAsia" w:eastAsia="仿宋_GB2312"/>
                <w:bCs/>
                <w:sz w:val="21"/>
                <w:szCs w:val="21"/>
                <w:lang w:val="en-US" w:eastAsia="zh-CN"/>
              </w:rPr>
              <w:t>6.1</w:t>
            </w:r>
          </w:p>
        </w:tc>
        <w:tc>
          <w:tcPr>
            <w:tcW w:w="5969" w:type="dxa"/>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ascii="Times New Roman" w:hAnsi="Times New Roman" w:eastAsia="仿宋_GB2312" w:cs="Times New Roman"/>
                <w:bCs/>
                <w:kern w:val="2"/>
                <w:sz w:val="21"/>
                <w:szCs w:val="21"/>
                <w:lang w:val="en-US" w:eastAsia="zh-CN" w:bidi="ar-SA"/>
              </w:rPr>
            </w:pPr>
            <w:r>
              <w:rPr>
                <w:rFonts w:hint="eastAsia" w:ascii="Times New Roman" w:hAnsi="Times New Roman" w:eastAsia="宋体" w:cs="Times New Roman"/>
                <w:sz w:val="21"/>
                <w:lang w:val="en-US" w:eastAsia="zh-CN" w:bidi="ar-SA"/>
              </w:rPr>
              <w:t>50%</w:t>
            </w:r>
            <w:r>
              <w:rPr>
                <w:rFonts w:hint="eastAsia"/>
              </w:rPr>
              <w:t>氰氨化钙颗粒剂</w:t>
            </w:r>
            <w:r>
              <w:rPr>
                <w:rFonts w:hint="eastAsia" w:ascii="Times New Roman" w:hAnsi="Times New Roman" w:eastAsia="宋体" w:cs="Times New Roman"/>
                <w:sz w:val="21"/>
                <w:lang w:val="en-US" w:eastAsia="zh-CN" w:bidi="ar-SA"/>
              </w:rPr>
              <w:t>75 ～90 g/m</w:t>
            </w:r>
            <w:r>
              <w:rPr>
                <w:rFonts w:hint="eastAsia" w:ascii="Times New Roman" w:hAnsi="Times New Roman" w:eastAsia="宋体" w:cs="Times New Roman"/>
                <w:sz w:val="21"/>
                <w:vertAlign w:val="superscript"/>
                <w:lang w:val="en-US" w:eastAsia="zh-CN" w:bidi="ar-SA"/>
              </w:rPr>
              <w:t>2</w:t>
            </w:r>
            <w:r>
              <w:rPr>
                <w:rFonts w:hint="eastAsia" w:ascii="Times New Roman"/>
                <w:bCs/>
                <w:sz w:val="21"/>
                <w:szCs w:val="21"/>
                <w:vertAlign w:val="baseline"/>
                <w:lang w:eastAsia="zh-CN"/>
              </w:rPr>
              <w:t>修改为</w:t>
            </w:r>
            <w:r>
              <w:rPr>
                <w:rFonts w:hint="eastAsia" w:ascii="Times New Roman" w:hAnsi="Times New Roman" w:eastAsia="宋体" w:cs="Times New Roman"/>
                <w:sz w:val="21"/>
                <w:lang w:val="en-US" w:eastAsia="zh-CN" w:bidi="ar-SA"/>
              </w:rPr>
              <w:t>50%</w:t>
            </w:r>
            <w:r>
              <w:rPr>
                <w:rFonts w:hint="eastAsia"/>
              </w:rPr>
              <w:t>氰氨化钙颗粒剂</w:t>
            </w:r>
            <w:r>
              <w:rPr>
                <w:rFonts w:hint="eastAsia" w:ascii="Times New Roman" w:hAnsi="Times New Roman" w:eastAsia="宋体" w:cs="Times New Roman"/>
                <w:sz w:val="21"/>
                <w:lang w:val="en-US" w:eastAsia="zh-CN" w:bidi="ar-SA"/>
              </w:rPr>
              <w:t>75 g/m</w:t>
            </w:r>
            <w:r>
              <w:rPr>
                <w:rFonts w:hint="eastAsia" w:ascii="Times New Roman" w:hAnsi="Times New Roman" w:eastAsia="宋体" w:cs="Times New Roman"/>
                <w:sz w:val="21"/>
                <w:vertAlign w:val="superscript"/>
                <w:lang w:val="en-US" w:eastAsia="zh-CN" w:bidi="ar-SA"/>
              </w:rPr>
              <w:t>2</w:t>
            </w:r>
            <w:r>
              <w:rPr>
                <w:rFonts w:hint="eastAsia" w:ascii="Times New Roman" w:hAnsi="Times New Roman" w:eastAsia="宋体" w:cs="Times New Roman"/>
                <w:sz w:val="21"/>
                <w:lang w:val="en-US" w:eastAsia="zh-CN" w:bidi="ar-SA"/>
              </w:rPr>
              <w:t>～90 g/m</w:t>
            </w:r>
            <w:r>
              <w:rPr>
                <w:rFonts w:hint="eastAsia" w:ascii="Times New Roman" w:hAnsi="Times New Roman" w:eastAsia="宋体" w:cs="Times New Roman"/>
                <w:sz w:val="21"/>
                <w:vertAlign w:val="superscript"/>
                <w:lang w:val="en-US" w:eastAsia="zh-CN" w:bidi="ar-SA"/>
              </w:rPr>
              <w:t>2</w:t>
            </w:r>
          </w:p>
        </w:tc>
        <w:tc>
          <w:tcPr>
            <w:tcW w:w="19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1"/>
                <w:szCs w:val="21"/>
                <w:lang w:val="en-US" w:eastAsia="zh-CN"/>
              </w:rPr>
            </w:pPr>
          </w:p>
        </w:tc>
        <w:tc>
          <w:tcPr>
            <w:tcW w:w="1697"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1"/>
                <w:szCs w:val="21"/>
                <w:lang w:val="en-US" w:eastAsia="zh-CN"/>
              </w:rPr>
            </w:pPr>
            <w:r>
              <w:rPr>
                <w:rFonts w:hint="eastAsia" w:eastAsia="仿宋_GB2312"/>
                <w:bCs/>
                <w:sz w:val="21"/>
                <w:szCs w:val="21"/>
                <w:lang w:val="en-US" w:eastAsia="zh-CN"/>
              </w:rPr>
              <w:t>采纳</w:t>
            </w:r>
          </w:p>
        </w:tc>
        <w:tc>
          <w:tcPr>
            <w:tcW w:w="2095" w:type="dxa"/>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eastAsia="仿宋_GB2312"/>
                <w:bCs/>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4"/>
                <w:lang w:val="en-US" w:eastAsia="zh-CN"/>
              </w:rPr>
            </w:pPr>
            <w:r>
              <w:rPr>
                <w:rFonts w:hint="eastAsia" w:eastAsia="仿宋_GB2312"/>
                <w:bCs/>
                <w:sz w:val="24"/>
                <w:lang w:val="en-US" w:eastAsia="zh-CN"/>
              </w:rPr>
              <w:t>4</w:t>
            </w:r>
          </w:p>
        </w:tc>
        <w:tc>
          <w:tcPr>
            <w:tcW w:w="1529"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eastAsia" w:eastAsia="仿宋_GB2312"/>
                <w:bCs/>
                <w:sz w:val="21"/>
                <w:szCs w:val="21"/>
                <w:lang w:val="en-US" w:eastAsia="zh-CN"/>
              </w:rPr>
            </w:pPr>
            <w:r>
              <w:rPr>
                <w:rFonts w:hint="eastAsia"/>
                <w:sz w:val="21"/>
                <w:szCs w:val="21"/>
                <w:lang w:val="en-US" w:eastAsia="zh-CN"/>
              </w:rPr>
              <w:t>附录</w:t>
            </w:r>
          </w:p>
        </w:tc>
        <w:tc>
          <w:tcPr>
            <w:tcW w:w="5969" w:type="dxa"/>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default" w:eastAsia="仿宋_GB2312"/>
                <w:bCs/>
                <w:sz w:val="21"/>
                <w:szCs w:val="21"/>
                <w:lang w:val="en-US" w:eastAsia="zh-CN"/>
              </w:rPr>
            </w:pPr>
            <w:r>
              <w:rPr>
                <w:rFonts w:hint="eastAsia" w:ascii="Times New Roman" w:eastAsia="宋体"/>
                <w:bCs/>
                <w:sz w:val="21"/>
                <w:szCs w:val="21"/>
                <w:lang w:val="en-US" w:eastAsia="zh-CN"/>
              </w:rPr>
              <w:t>农药名称及用药量（制剂量/亩）修改为农药名称及用药量（制剂量/667m</w:t>
            </w:r>
            <w:r>
              <w:rPr>
                <w:rFonts w:hint="eastAsia" w:ascii="Times New Roman" w:eastAsia="宋体"/>
                <w:bCs/>
                <w:sz w:val="21"/>
                <w:szCs w:val="21"/>
                <w:vertAlign w:val="superscript"/>
                <w:lang w:val="en-US" w:eastAsia="zh-CN"/>
              </w:rPr>
              <w:t>2</w:t>
            </w:r>
            <w:r>
              <w:rPr>
                <w:rFonts w:hint="eastAsia" w:ascii="Times New Roman" w:eastAsia="宋体"/>
                <w:bCs/>
                <w:sz w:val="21"/>
                <w:szCs w:val="21"/>
                <w:lang w:val="en-US" w:eastAsia="zh-CN"/>
              </w:rPr>
              <w:t>）</w:t>
            </w:r>
          </w:p>
        </w:tc>
        <w:tc>
          <w:tcPr>
            <w:tcW w:w="196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1"/>
                <w:szCs w:val="21"/>
                <w:lang w:val="en-US" w:eastAsia="zh-CN"/>
              </w:rPr>
            </w:pPr>
            <w:r>
              <w:rPr>
                <w:rFonts w:hint="eastAsia" w:eastAsia="仿宋_GB2312"/>
                <w:bCs/>
                <w:sz w:val="21"/>
                <w:szCs w:val="21"/>
                <w:lang w:val="en-US" w:eastAsia="zh-CN"/>
              </w:rPr>
              <w:t>运城市植物保护 检疫站</w:t>
            </w:r>
          </w:p>
        </w:tc>
        <w:tc>
          <w:tcPr>
            <w:tcW w:w="1697"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Cs/>
                <w:kern w:val="2"/>
                <w:sz w:val="21"/>
                <w:szCs w:val="21"/>
                <w:lang w:val="en-US" w:eastAsia="zh-CN" w:bidi="ar-SA"/>
              </w:rPr>
            </w:pPr>
            <w:r>
              <w:rPr>
                <w:rFonts w:hint="default" w:eastAsia="仿宋_GB2312"/>
                <w:bCs/>
                <w:sz w:val="21"/>
                <w:szCs w:val="21"/>
                <w:lang w:val="en-US" w:eastAsia="zh-CN"/>
              </w:rPr>
              <w:t>采纳</w:t>
            </w:r>
          </w:p>
        </w:tc>
        <w:tc>
          <w:tcPr>
            <w:tcW w:w="2095" w:type="dxa"/>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eastAsia="仿宋_GB2312"/>
                <w:bCs/>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4"/>
                <w:lang w:val="en-US" w:eastAsia="zh-CN"/>
              </w:rPr>
            </w:pPr>
            <w:r>
              <w:rPr>
                <w:rFonts w:hint="eastAsia" w:eastAsia="仿宋_GB2312"/>
                <w:bCs/>
                <w:sz w:val="24"/>
                <w:lang w:val="en-US" w:eastAsia="zh-CN"/>
              </w:rPr>
              <w:t>5</w:t>
            </w:r>
          </w:p>
        </w:tc>
        <w:tc>
          <w:tcPr>
            <w:tcW w:w="1529"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1"/>
                <w:szCs w:val="21"/>
                <w:lang w:val="en-US" w:eastAsia="zh-CN"/>
              </w:rPr>
            </w:pPr>
            <w:r>
              <w:rPr>
                <w:rFonts w:hint="eastAsia"/>
                <w:sz w:val="21"/>
                <w:szCs w:val="21"/>
                <w:lang w:val="en-US" w:eastAsia="zh-CN"/>
              </w:rPr>
              <w:t>附录</w:t>
            </w:r>
          </w:p>
        </w:tc>
        <w:tc>
          <w:tcPr>
            <w:tcW w:w="5969" w:type="dxa"/>
            <w:vAlign w:val="top"/>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default" w:eastAsia="仿宋_GB2312"/>
                <w:bCs/>
                <w:sz w:val="21"/>
                <w:szCs w:val="21"/>
                <w:lang w:val="en-US" w:eastAsia="zh-CN"/>
              </w:rPr>
            </w:pPr>
            <w:r>
              <w:rPr>
                <w:rFonts w:hint="eastAsia" w:ascii="Times New Roman" w:eastAsia="宋体"/>
                <w:bCs/>
                <w:sz w:val="21"/>
                <w:szCs w:val="21"/>
                <w:lang w:val="en-US" w:eastAsia="zh-CN"/>
              </w:rPr>
              <w:t>50</w:t>
            </w:r>
            <w:r>
              <w:rPr>
                <w:rFonts w:hint="eastAsia" w:ascii="Times New Roman" w:eastAsia="宋体"/>
                <w:bCs/>
                <w:sz w:val="21"/>
                <w:szCs w:val="21"/>
                <w:lang w:eastAsia="zh-CN"/>
              </w:rPr>
              <w:t>%嘧菌酯悬浮剂修改为</w:t>
            </w:r>
            <w:r>
              <w:rPr>
                <w:rFonts w:hint="eastAsia" w:ascii="Times New Roman" w:eastAsia="宋体"/>
                <w:bCs/>
                <w:sz w:val="21"/>
                <w:szCs w:val="21"/>
                <w:lang w:val="en-US" w:eastAsia="zh-CN"/>
              </w:rPr>
              <w:t>25</w:t>
            </w:r>
            <w:r>
              <w:rPr>
                <w:rFonts w:hint="eastAsia" w:ascii="Times New Roman" w:eastAsia="宋体"/>
                <w:bCs/>
                <w:sz w:val="21"/>
                <w:szCs w:val="21"/>
                <w:lang w:eastAsia="zh-CN"/>
              </w:rPr>
              <w:t>%嘧菌酯悬浮剂。10</w:t>
            </w:r>
            <w:r>
              <w:rPr>
                <w:rFonts w:hint="eastAsia" w:ascii="Times New Roman" w:eastAsia="宋体"/>
                <w:bCs/>
                <w:sz w:val="21"/>
                <w:szCs w:val="21"/>
                <w:lang w:val="en-US" w:eastAsia="zh-CN"/>
              </w:rPr>
              <w:t>0</w:t>
            </w:r>
            <w:r>
              <w:rPr>
                <w:rFonts w:hint="eastAsia" w:ascii="Times New Roman" w:eastAsia="宋体"/>
                <w:bCs/>
                <w:sz w:val="21"/>
                <w:szCs w:val="21"/>
                <w:lang w:eastAsia="zh-CN"/>
              </w:rPr>
              <w:t>亿/芽孢/g枯草芽孢杆菌可湿性粉剂修改为100</w:t>
            </w:r>
            <w:r>
              <w:rPr>
                <w:rFonts w:hint="eastAsia" w:ascii="Times New Roman" w:eastAsia="宋体"/>
                <w:bCs/>
                <w:sz w:val="21"/>
                <w:szCs w:val="21"/>
                <w:lang w:val="en-US" w:eastAsia="zh-CN"/>
              </w:rPr>
              <w:t>0</w:t>
            </w:r>
            <w:r>
              <w:rPr>
                <w:rFonts w:hint="eastAsia" w:ascii="Times New Roman" w:eastAsia="宋体"/>
                <w:bCs/>
                <w:sz w:val="21"/>
                <w:szCs w:val="21"/>
                <w:lang w:eastAsia="zh-CN"/>
              </w:rPr>
              <w:t>亿/芽孢/g枯草芽孢杆菌可湿性粉剂</w:t>
            </w:r>
            <w:r>
              <w:rPr>
                <w:rFonts w:hint="eastAsia" w:ascii="Times New Roman" w:eastAsia="宋体"/>
                <w:bCs/>
                <w:sz w:val="21"/>
                <w:szCs w:val="21"/>
                <w:lang w:val="en-US" w:eastAsia="zh-CN"/>
              </w:rPr>
              <w:t>,后者生产应用较多</w:t>
            </w:r>
          </w:p>
        </w:tc>
        <w:tc>
          <w:tcPr>
            <w:tcW w:w="19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1"/>
                <w:szCs w:val="21"/>
                <w:lang w:val="en-US" w:eastAsia="zh-CN"/>
              </w:rPr>
            </w:pPr>
          </w:p>
        </w:tc>
        <w:tc>
          <w:tcPr>
            <w:tcW w:w="1697"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Cs/>
                <w:kern w:val="2"/>
                <w:sz w:val="21"/>
                <w:szCs w:val="21"/>
                <w:lang w:val="en-US" w:eastAsia="zh-CN" w:bidi="ar-SA"/>
              </w:rPr>
            </w:pPr>
            <w:r>
              <w:rPr>
                <w:rFonts w:hint="eastAsia" w:eastAsia="仿宋_GB2312"/>
                <w:bCs/>
                <w:sz w:val="21"/>
                <w:szCs w:val="21"/>
                <w:lang w:val="en-US" w:eastAsia="zh-CN"/>
              </w:rPr>
              <w:t>采纳</w:t>
            </w:r>
          </w:p>
        </w:tc>
        <w:tc>
          <w:tcPr>
            <w:tcW w:w="2095" w:type="dxa"/>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eastAsia="仿宋_GB2312"/>
                <w:bCs/>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733"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4"/>
                <w:lang w:val="en-US" w:eastAsia="zh-CN"/>
              </w:rPr>
            </w:pPr>
            <w:r>
              <w:rPr>
                <w:rFonts w:hint="eastAsia" w:eastAsia="仿宋_GB2312"/>
                <w:bCs/>
                <w:sz w:val="24"/>
                <w:lang w:val="en-US" w:eastAsia="zh-CN"/>
              </w:rPr>
              <w:t>6</w:t>
            </w:r>
          </w:p>
        </w:tc>
        <w:tc>
          <w:tcPr>
            <w:tcW w:w="1529"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1"/>
                <w:szCs w:val="21"/>
                <w:lang w:val="en-US" w:eastAsia="zh-CN"/>
              </w:rPr>
            </w:pPr>
            <w:r>
              <w:rPr>
                <w:rFonts w:hint="eastAsia" w:eastAsia="仿宋_GB2312"/>
                <w:bCs/>
                <w:sz w:val="21"/>
                <w:szCs w:val="21"/>
                <w:lang w:val="en-US" w:eastAsia="zh-CN"/>
              </w:rPr>
              <w:t>附录</w:t>
            </w:r>
          </w:p>
        </w:tc>
        <w:tc>
          <w:tcPr>
            <w:tcW w:w="5969"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both"/>
              <w:textAlignment w:val="auto"/>
              <w:rPr>
                <w:rFonts w:hint="default" w:eastAsia="仿宋_GB2312"/>
                <w:bCs/>
                <w:sz w:val="21"/>
                <w:szCs w:val="21"/>
                <w:lang w:val="en-US" w:eastAsia="zh-CN"/>
              </w:rPr>
            </w:pPr>
            <w:r>
              <w:rPr>
                <w:rFonts w:hint="eastAsia" w:ascii="Times New Roman" w:eastAsia="宋体"/>
                <w:bCs/>
                <w:sz w:val="21"/>
                <w:szCs w:val="21"/>
                <w:lang w:val="en-US" w:eastAsia="zh-CN"/>
              </w:rPr>
              <w:t>建议枯草芽孢杆菌外所有喷药次数最多为1次</w:t>
            </w:r>
          </w:p>
        </w:tc>
        <w:tc>
          <w:tcPr>
            <w:tcW w:w="1969"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default" w:eastAsia="仿宋_GB2312"/>
                <w:bCs/>
                <w:sz w:val="21"/>
                <w:szCs w:val="21"/>
                <w:lang w:val="en-US" w:eastAsia="zh-CN"/>
              </w:rPr>
            </w:pPr>
            <w:r>
              <w:rPr>
                <w:rFonts w:hint="eastAsia" w:eastAsia="仿宋_GB2312"/>
                <w:bCs/>
                <w:sz w:val="21"/>
                <w:szCs w:val="21"/>
                <w:lang w:val="en-US" w:eastAsia="zh-CN"/>
              </w:rPr>
              <w:t>长治市植物保护 植物检疫</w:t>
            </w:r>
          </w:p>
        </w:tc>
        <w:tc>
          <w:tcPr>
            <w:tcW w:w="1697" w:type="dxa"/>
            <w:vAlign w:val="center"/>
          </w:tcPr>
          <w:p>
            <w:pPr>
              <w:keepNext w:val="0"/>
              <w:keepLines w:val="0"/>
              <w:pageBreakBefore w:val="0"/>
              <w:widowControl w:val="0"/>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Cs/>
                <w:kern w:val="2"/>
                <w:sz w:val="21"/>
                <w:szCs w:val="21"/>
                <w:lang w:val="en-US" w:eastAsia="zh-CN" w:bidi="ar-SA"/>
              </w:rPr>
            </w:pPr>
            <w:r>
              <w:rPr>
                <w:rFonts w:hint="default" w:eastAsia="仿宋_GB2312"/>
                <w:bCs/>
                <w:sz w:val="21"/>
                <w:szCs w:val="21"/>
                <w:lang w:val="en-US" w:eastAsia="zh-CN"/>
              </w:rPr>
              <w:t>采纳</w:t>
            </w:r>
          </w:p>
        </w:tc>
        <w:tc>
          <w:tcPr>
            <w:tcW w:w="2095" w:type="dxa"/>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eastAsia="仿宋_GB2312"/>
                <w:bCs/>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92" w:type="dxa"/>
            <w:gridSpan w:val="6"/>
            <w:vAlign w:val="center"/>
          </w:tcPr>
          <w:p>
            <w:pPr>
              <w:keepNext w:val="0"/>
              <w:keepLines w:val="0"/>
              <w:pageBreakBefore w:val="0"/>
              <w:widowControl w:val="0"/>
              <w:kinsoku/>
              <w:wordWrap/>
              <w:overflowPunct/>
              <w:topLinePunct w:val="0"/>
              <w:autoSpaceDE/>
              <w:autoSpaceDN/>
              <w:bidi w:val="0"/>
              <w:adjustRightInd/>
              <w:spacing w:line="320" w:lineRule="exact"/>
              <w:ind w:firstLine="420" w:firstLineChars="200"/>
              <w:jc w:val="both"/>
              <w:textAlignment w:val="auto"/>
              <w:rPr>
                <w:rFonts w:hint="eastAsia"/>
                <w:lang w:val="en-US" w:eastAsia="zh-CN"/>
              </w:rPr>
            </w:pPr>
            <w:r>
              <w:rPr>
                <w:rFonts w:hint="eastAsia"/>
                <w:lang w:val="en-US" w:eastAsia="zh-CN"/>
              </w:rPr>
              <w:t>说明：1、针对明确回复无意见的单位，请在“意见内容”中注明无意见，在“提出意见”中列出无意见单位的名称。</w:t>
            </w:r>
          </w:p>
          <w:p>
            <w:pPr>
              <w:pStyle w:val="7"/>
              <w:keepNext w:val="0"/>
              <w:keepLines w:val="0"/>
              <w:pageBreakBefore w:val="0"/>
              <w:widowControl w:val="0"/>
              <w:kinsoku/>
              <w:wordWrap/>
              <w:overflowPunct/>
              <w:topLinePunct w:val="0"/>
              <w:autoSpaceDE/>
              <w:autoSpaceDN/>
              <w:bidi w:val="0"/>
              <w:adjustRightInd/>
              <w:spacing w:line="320" w:lineRule="exact"/>
              <w:ind w:left="1380" w:hanging="960" w:hangingChars="300"/>
              <w:textAlignment w:val="auto"/>
              <w:rPr>
                <w:rFonts w:hint="default"/>
                <w:lang w:val="en-US" w:eastAsia="zh-CN"/>
              </w:rPr>
            </w:pPr>
            <w:r>
              <w:rPr>
                <w:rFonts w:hint="eastAsia"/>
                <w:lang w:val="en-US" w:eastAsia="zh-CN"/>
              </w:rPr>
              <w:t xml:space="preserve">    </w:t>
            </w:r>
            <w:r>
              <w:rPr>
                <w:rFonts w:hint="eastAsia" w:ascii="Times New Roman" w:hAnsi="Times New Roman" w:eastAsia="宋体" w:cs="Times New Roman"/>
                <w:kern w:val="2"/>
                <w:sz w:val="21"/>
                <w:szCs w:val="24"/>
                <w:lang w:val="en-US" w:eastAsia="zh-CN" w:bidi="ar-SA"/>
              </w:rPr>
              <w:t>2、发送征求意见稿单位数</w:t>
            </w:r>
            <w:r>
              <w:rPr>
                <w:rFonts w:hint="eastAsia" w:ascii="Times New Roman" w:hAnsi="Times New Roman" w:cs="Times New Roman"/>
                <w:kern w:val="2"/>
                <w:sz w:val="21"/>
                <w:szCs w:val="24"/>
                <w:u w:val="single"/>
                <w:lang w:val="en-US" w:eastAsia="zh-CN" w:bidi="ar-SA"/>
              </w:rPr>
              <w:t>3</w:t>
            </w:r>
            <w:r>
              <w:rPr>
                <w:rFonts w:hint="eastAsia" w:ascii="Times New Roman" w:hAnsi="Times New Roman" w:cs="Times New Roman"/>
                <w:kern w:val="2"/>
                <w:sz w:val="21"/>
                <w:szCs w:val="24"/>
                <w:lang w:val="en-US" w:eastAsia="zh-CN" w:bidi="ar-SA"/>
              </w:rPr>
              <w:t>个；回到征求意见稿回函的单位</w:t>
            </w:r>
            <w:r>
              <w:rPr>
                <w:rFonts w:hint="eastAsia" w:ascii="Times New Roman" w:hAnsi="Times New Roman" w:cs="Times New Roman"/>
                <w:kern w:val="2"/>
                <w:sz w:val="21"/>
                <w:szCs w:val="24"/>
                <w:u w:val="single"/>
                <w:lang w:val="en-US" w:eastAsia="zh-CN" w:bidi="ar-SA"/>
              </w:rPr>
              <w:t>3</w:t>
            </w:r>
            <w:r>
              <w:rPr>
                <w:rFonts w:hint="eastAsia" w:ascii="Times New Roman" w:hAnsi="Times New Roman" w:cs="Times New Roman"/>
                <w:kern w:val="2"/>
                <w:sz w:val="21"/>
                <w:szCs w:val="24"/>
                <w:lang w:val="en-US" w:eastAsia="zh-CN" w:bidi="ar-SA"/>
              </w:rPr>
              <w:t>个；收到征求意见稿并提出意见的单位</w:t>
            </w:r>
            <w:r>
              <w:rPr>
                <w:rFonts w:hint="eastAsia" w:ascii="Times New Roman" w:hAnsi="Times New Roman" w:cs="Times New Roman"/>
                <w:kern w:val="2"/>
                <w:sz w:val="21"/>
                <w:szCs w:val="24"/>
                <w:u w:val="single"/>
                <w:lang w:val="en-US" w:eastAsia="zh-CN" w:bidi="ar-SA"/>
              </w:rPr>
              <w:t>3</w:t>
            </w:r>
            <w:r>
              <w:rPr>
                <w:rFonts w:hint="eastAsia" w:ascii="Times New Roman" w:hAnsi="Times New Roman" w:cs="Times New Roman"/>
                <w:kern w:val="2"/>
                <w:sz w:val="21"/>
                <w:szCs w:val="24"/>
                <w:lang w:val="en-US" w:eastAsia="zh-CN" w:bidi="ar-SA"/>
              </w:rPr>
              <w:t>个；共收到</w:t>
            </w:r>
            <w:r>
              <w:rPr>
                <w:rFonts w:hint="eastAsia" w:ascii="Times New Roman" w:hAnsi="Times New Roman" w:cs="Times New Roman"/>
                <w:kern w:val="2"/>
                <w:sz w:val="21"/>
                <w:szCs w:val="24"/>
                <w:u w:val="single"/>
                <w:lang w:val="en-US" w:eastAsia="zh-CN" w:bidi="ar-SA"/>
              </w:rPr>
              <w:t>6</w:t>
            </w:r>
            <w:r>
              <w:rPr>
                <w:rFonts w:hint="eastAsia" w:ascii="Times New Roman" w:hAnsi="Times New Roman" w:cs="Times New Roman"/>
                <w:kern w:val="2"/>
                <w:sz w:val="21"/>
                <w:szCs w:val="24"/>
                <w:lang w:val="en-US" w:eastAsia="zh-CN" w:bidi="ar-SA"/>
              </w:rPr>
              <w:t>条意见，采纳</w:t>
            </w:r>
            <w:r>
              <w:rPr>
                <w:rFonts w:hint="eastAsia" w:ascii="Times New Roman" w:hAnsi="Times New Roman" w:cs="Times New Roman"/>
                <w:kern w:val="2"/>
                <w:sz w:val="21"/>
                <w:szCs w:val="24"/>
                <w:u w:val="single"/>
                <w:lang w:val="en-US" w:eastAsia="zh-CN" w:bidi="ar-SA"/>
              </w:rPr>
              <w:t>6</w:t>
            </w:r>
            <w:r>
              <w:rPr>
                <w:rFonts w:hint="eastAsia" w:ascii="Times New Roman" w:hAnsi="Times New Roman" w:cs="Times New Roman"/>
                <w:kern w:val="2"/>
                <w:sz w:val="21"/>
                <w:szCs w:val="24"/>
                <w:lang w:val="en-US" w:eastAsia="zh-CN" w:bidi="ar-SA"/>
              </w:rPr>
              <w:t>条，部分采纳</w:t>
            </w:r>
            <w:r>
              <w:rPr>
                <w:rFonts w:hint="eastAsia" w:ascii="Times New Roman" w:hAnsi="Times New Roman" w:cs="Times New Roman"/>
                <w:kern w:val="2"/>
                <w:sz w:val="21"/>
                <w:szCs w:val="24"/>
                <w:u w:val="single"/>
                <w:lang w:val="en-US" w:eastAsia="zh-CN" w:bidi="ar-SA"/>
              </w:rPr>
              <w:t>0</w:t>
            </w:r>
            <w:r>
              <w:rPr>
                <w:rFonts w:hint="eastAsia" w:ascii="Times New Roman" w:hAnsi="Times New Roman" w:cs="Times New Roman"/>
                <w:kern w:val="2"/>
                <w:sz w:val="21"/>
                <w:szCs w:val="24"/>
                <w:lang w:val="en-US" w:eastAsia="zh-CN" w:bidi="ar-SA"/>
              </w:rPr>
              <w:t>条，未采纳</w:t>
            </w:r>
            <w:r>
              <w:rPr>
                <w:rFonts w:hint="eastAsia" w:ascii="Times New Roman" w:hAnsi="Times New Roman" w:cs="Times New Roman"/>
                <w:kern w:val="2"/>
                <w:sz w:val="21"/>
                <w:szCs w:val="24"/>
                <w:u w:val="single"/>
                <w:lang w:val="en-US" w:eastAsia="zh-CN" w:bidi="ar-SA"/>
              </w:rPr>
              <w:t>0</w:t>
            </w:r>
            <w:r>
              <w:rPr>
                <w:rFonts w:hint="eastAsia" w:ascii="Times New Roman" w:hAnsi="Times New Roman" w:cs="Times New Roman"/>
                <w:kern w:val="2"/>
                <w:sz w:val="21"/>
                <w:szCs w:val="24"/>
                <w:lang w:val="en-US" w:eastAsia="zh-CN" w:bidi="ar-SA"/>
              </w:rPr>
              <w:t>条意见。</w:t>
            </w:r>
          </w:p>
        </w:tc>
      </w:tr>
    </w:tbl>
    <w:p>
      <w:pPr>
        <w:jc w:val="center"/>
        <w:rPr>
          <w:rFonts w:hint="default" w:ascii="仿宋_GB2312" w:hAnsi="宋体" w:eastAsia="仿宋_GB2312"/>
          <w:color w:val="0000FF"/>
          <w:sz w:val="24"/>
          <w:lang w:val="en-US" w:eastAsia="zh-CN"/>
        </w:rPr>
      </w:pPr>
    </w:p>
    <w:sectPr>
      <w:footerReference r:id="rId7" w:type="first"/>
      <w:footerReference r:id="rId6" w:type="default"/>
      <w:pgSz w:w="16838" w:h="11906" w:orient="landscape"/>
      <w:pgMar w:top="1803" w:right="1440" w:bottom="1803" w:left="1440" w:header="851" w:footer="992" w:gutter="0"/>
      <w:pgNumType w:fmt="decimal" w:start="8"/>
      <w:cols w:space="0" w:num="1"/>
      <w:titlePg/>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Mangal">
    <w:altName w:val="文泉驿微米黑"/>
    <w:panose1 w:val="00000400000000000000"/>
    <w:charset w:val="01"/>
    <w:family w:val="roman"/>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jc w:val="center"/>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2"/>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jc w:val="center"/>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2"/>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NotTrackMoves/>
  <w:documentProtection w:enforcement="0"/>
  <w:defaultTabStop w:val="420"/>
  <w:drawingGridHorizontalSpacing w:val="105"/>
  <w:drawingGridVerticalSpacing w:val="159"/>
  <w:displayHorizontalDrawingGridEvery w:val="1"/>
  <w:displayVerticalDrawingGridEvery w:val="2"/>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mYTlkNTgwOWMwOGJhYjJiMjJlOGM3OTY4NmQ0MDU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02F7DB3E"/>
    <w:rsid w:val="17EF28AE"/>
    <w:rsid w:val="19D4068C"/>
    <w:rsid w:val="2CFDFB56"/>
    <w:rsid w:val="34EBD997"/>
    <w:rsid w:val="3937271C"/>
    <w:rsid w:val="39FF8ABB"/>
    <w:rsid w:val="3BEFE93C"/>
    <w:rsid w:val="3D25D500"/>
    <w:rsid w:val="3DBFA261"/>
    <w:rsid w:val="3EEF98DD"/>
    <w:rsid w:val="3EF96F62"/>
    <w:rsid w:val="3EFD1B86"/>
    <w:rsid w:val="3F9FD22F"/>
    <w:rsid w:val="3FDBDE39"/>
    <w:rsid w:val="3FDF1238"/>
    <w:rsid w:val="3FFC8976"/>
    <w:rsid w:val="44F67025"/>
    <w:rsid w:val="470749E1"/>
    <w:rsid w:val="4F5DE3DC"/>
    <w:rsid w:val="4F7B247E"/>
    <w:rsid w:val="4FE904AB"/>
    <w:rsid w:val="56FDDE63"/>
    <w:rsid w:val="573D4AD6"/>
    <w:rsid w:val="57D94567"/>
    <w:rsid w:val="57E931F8"/>
    <w:rsid w:val="57FF6774"/>
    <w:rsid w:val="57FFEC12"/>
    <w:rsid w:val="5BE74FD4"/>
    <w:rsid w:val="5CFF1606"/>
    <w:rsid w:val="5DFFCE9C"/>
    <w:rsid w:val="5EEB3B08"/>
    <w:rsid w:val="5F5CFEE1"/>
    <w:rsid w:val="5FB81DCD"/>
    <w:rsid w:val="5FFFE5B7"/>
    <w:rsid w:val="63BD8BA4"/>
    <w:rsid w:val="63EE0EC4"/>
    <w:rsid w:val="65D4F332"/>
    <w:rsid w:val="66A00BB4"/>
    <w:rsid w:val="677DDB63"/>
    <w:rsid w:val="67ABBBF6"/>
    <w:rsid w:val="67EE7B09"/>
    <w:rsid w:val="67FFB2BA"/>
    <w:rsid w:val="6BFEE3C0"/>
    <w:rsid w:val="6BFF0146"/>
    <w:rsid w:val="6DEE8CEF"/>
    <w:rsid w:val="6EEF1BE9"/>
    <w:rsid w:val="6EFD90F7"/>
    <w:rsid w:val="6FBB850A"/>
    <w:rsid w:val="6FDBC7B0"/>
    <w:rsid w:val="6FE2C788"/>
    <w:rsid w:val="6FF7C4C9"/>
    <w:rsid w:val="6FFFCABF"/>
    <w:rsid w:val="72DE18B7"/>
    <w:rsid w:val="72E7DA2D"/>
    <w:rsid w:val="72F7BE28"/>
    <w:rsid w:val="7329008F"/>
    <w:rsid w:val="737DCA7B"/>
    <w:rsid w:val="73BF60A1"/>
    <w:rsid w:val="75A7E01D"/>
    <w:rsid w:val="75DF5C03"/>
    <w:rsid w:val="75E9057E"/>
    <w:rsid w:val="766FDEA6"/>
    <w:rsid w:val="76BEFB2C"/>
    <w:rsid w:val="772F77B5"/>
    <w:rsid w:val="777F0148"/>
    <w:rsid w:val="779DD264"/>
    <w:rsid w:val="77B37517"/>
    <w:rsid w:val="77C6AB6B"/>
    <w:rsid w:val="77FBDA14"/>
    <w:rsid w:val="77FF1FAE"/>
    <w:rsid w:val="77FF4F98"/>
    <w:rsid w:val="79FF0142"/>
    <w:rsid w:val="7B31557B"/>
    <w:rsid w:val="7BAF3B92"/>
    <w:rsid w:val="7BDBC41A"/>
    <w:rsid w:val="7BE78D18"/>
    <w:rsid w:val="7BEFF090"/>
    <w:rsid w:val="7BFB120F"/>
    <w:rsid w:val="7BFF46B8"/>
    <w:rsid w:val="7D876E63"/>
    <w:rsid w:val="7DAF57B1"/>
    <w:rsid w:val="7DDF7C56"/>
    <w:rsid w:val="7DEB9B28"/>
    <w:rsid w:val="7EFF9F4A"/>
    <w:rsid w:val="7F5EF730"/>
    <w:rsid w:val="7F6F477C"/>
    <w:rsid w:val="7F73F1F8"/>
    <w:rsid w:val="7F7F1836"/>
    <w:rsid w:val="7F7F43D5"/>
    <w:rsid w:val="7FDE9EE2"/>
    <w:rsid w:val="7FF707CA"/>
    <w:rsid w:val="7FFD1C88"/>
    <w:rsid w:val="7FFD7FFD"/>
    <w:rsid w:val="7FFF387E"/>
    <w:rsid w:val="7FFF51FB"/>
    <w:rsid w:val="8FBF2919"/>
    <w:rsid w:val="93EEA786"/>
    <w:rsid w:val="97BDC49E"/>
    <w:rsid w:val="9CFB7DEA"/>
    <w:rsid w:val="A2FFE457"/>
    <w:rsid w:val="ADAF1DB9"/>
    <w:rsid w:val="AFFC64D4"/>
    <w:rsid w:val="B5FF0B5B"/>
    <w:rsid w:val="B76B45F2"/>
    <w:rsid w:val="B7FFE132"/>
    <w:rsid w:val="B9C7B550"/>
    <w:rsid w:val="BBB4DA1D"/>
    <w:rsid w:val="BFDCB3F2"/>
    <w:rsid w:val="BFDD4878"/>
    <w:rsid w:val="BFFA85A8"/>
    <w:rsid w:val="BFFF343A"/>
    <w:rsid w:val="CD5FAAC3"/>
    <w:rsid w:val="D5FE192F"/>
    <w:rsid w:val="D75F5531"/>
    <w:rsid w:val="DD9B85EF"/>
    <w:rsid w:val="DDDB2668"/>
    <w:rsid w:val="DF369EFA"/>
    <w:rsid w:val="DF574E80"/>
    <w:rsid w:val="DFA64851"/>
    <w:rsid w:val="DFDFA0C6"/>
    <w:rsid w:val="DFFAE68F"/>
    <w:rsid w:val="DFFB0938"/>
    <w:rsid w:val="E5DF4D62"/>
    <w:rsid w:val="E7EE1D9E"/>
    <w:rsid w:val="E7F7B22B"/>
    <w:rsid w:val="E8FBB285"/>
    <w:rsid w:val="EB7DFDD5"/>
    <w:rsid w:val="EBAE0F58"/>
    <w:rsid w:val="EC3D1978"/>
    <w:rsid w:val="EDFE78A6"/>
    <w:rsid w:val="EEFF117F"/>
    <w:rsid w:val="EFDBA9CD"/>
    <w:rsid w:val="EFE38059"/>
    <w:rsid w:val="EFEEBE02"/>
    <w:rsid w:val="F1BFC9DA"/>
    <w:rsid w:val="F2BBE03C"/>
    <w:rsid w:val="F53DD050"/>
    <w:rsid w:val="F7BF6BFD"/>
    <w:rsid w:val="F7EE9B50"/>
    <w:rsid w:val="F7FB535F"/>
    <w:rsid w:val="F8AE4CB8"/>
    <w:rsid w:val="FBF70C37"/>
    <w:rsid w:val="FC77E076"/>
    <w:rsid w:val="FD6AF348"/>
    <w:rsid w:val="FD7B239C"/>
    <w:rsid w:val="FD7B4A80"/>
    <w:rsid w:val="FDBFE586"/>
    <w:rsid w:val="FDFCC420"/>
    <w:rsid w:val="FEFFD74D"/>
    <w:rsid w:val="FF6D5981"/>
    <w:rsid w:val="FFD71E65"/>
    <w:rsid w:val="FFEDD745"/>
    <w:rsid w:val="FFEF8187"/>
    <w:rsid w:val="FFFC0DA9"/>
    <w:rsid w:val="FFFF8C4C"/>
    <w:rsid w:val="FFFFF16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9"/>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5">
    <w:name w:val="heading 2"/>
    <w:basedOn w:val="1"/>
    <w:next w:val="1"/>
    <w:unhideWhenUsed/>
    <w:qFormat/>
    <w:locked/>
    <w:uiPriority w:val="0"/>
    <w:pPr>
      <w:keepNext w:val="0"/>
      <w:keepLines w:val="0"/>
      <w:spacing w:beforeLines="0" w:beforeAutospacing="0" w:afterLines="0" w:afterAutospacing="0" w:line="600" w:lineRule="exact"/>
      <w:ind w:firstLine="880" w:firstLineChars="200"/>
      <w:outlineLvl w:val="1"/>
    </w:pPr>
    <w:rPr>
      <w:rFonts w:ascii="Times New Roman" w:hAnsi="Times New Roman" w:eastAsia="方正黑体_GBK"/>
    </w:rPr>
  </w:style>
  <w:style w:type="paragraph" w:styleId="6">
    <w:name w:val="heading 3"/>
    <w:basedOn w:val="1"/>
    <w:next w:val="1"/>
    <w:link w:val="20"/>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beforeLines="0" w:afterLines="0" w:line="400" w:lineRule="exact"/>
      <w:ind w:left="480" w:firstLine="640" w:firstLineChars="200"/>
    </w:pPr>
  </w:style>
  <w:style w:type="paragraph" w:styleId="3">
    <w:name w:val="Body Text Indent"/>
    <w:basedOn w:val="1"/>
    <w:qFormat/>
    <w:uiPriority w:val="0"/>
    <w:pPr>
      <w:spacing w:line="560" w:lineRule="exact"/>
      <w:ind w:firstLine="600" w:firstLineChars="200"/>
    </w:pPr>
    <w:rPr>
      <w:rFonts w:ascii="仿宋_GB2312"/>
      <w:sz w:val="30"/>
      <w:szCs w:val="24"/>
    </w:rPr>
  </w:style>
  <w:style w:type="paragraph" w:styleId="7">
    <w:name w:val="table of authorities"/>
    <w:basedOn w:val="1"/>
    <w:next w:val="1"/>
    <w:qFormat/>
    <w:uiPriority w:val="0"/>
    <w:pPr>
      <w:ind w:left="420" w:leftChars="200"/>
    </w:pPr>
    <w:rPr>
      <w:rFonts w:ascii="Calibri" w:hAnsi="Calibri"/>
      <w:sz w:val="32"/>
      <w:szCs w:val="32"/>
    </w:rPr>
  </w:style>
  <w:style w:type="paragraph" w:styleId="8">
    <w:name w:val="caption"/>
    <w:basedOn w:val="1"/>
    <w:next w:val="1"/>
    <w:qFormat/>
    <w:uiPriority w:val="99"/>
    <w:pPr>
      <w:suppressLineNumbers/>
      <w:suppressAutoHyphens/>
      <w:spacing w:before="120" w:after="120"/>
    </w:pPr>
    <w:rPr>
      <w:rFonts w:cs="Mangal"/>
      <w:i/>
      <w:iCs/>
      <w:kern w:val="21"/>
      <w:sz w:val="24"/>
      <w:lang w:eastAsia="ar-SA"/>
    </w:rPr>
  </w:style>
  <w:style w:type="paragraph" w:styleId="9">
    <w:name w:val="Body Text"/>
    <w:basedOn w:val="1"/>
    <w:link w:val="30"/>
    <w:qFormat/>
    <w:uiPriority w:val="0"/>
    <w:pPr>
      <w:spacing w:after="120"/>
    </w:pPr>
  </w:style>
  <w:style w:type="paragraph" w:styleId="10">
    <w:name w:val="Date"/>
    <w:basedOn w:val="1"/>
    <w:next w:val="1"/>
    <w:link w:val="29"/>
    <w:semiHidden/>
    <w:unhideWhenUsed/>
    <w:qFormat/>
    <w:uiPriority w:val="99"/>
    <w:pPr>
      <w:ind w:left="100" w:leftChars="2500"/>
    </w:pPr>
  </w:style>
  <w:style w:type="paragraph" w:styleId="11">
    <w:name w:val="Balloon Text"/>
    <w:basedOn w:val="1"/>
    <w:link w:val="26"/>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99"/>
    <w:rPr>
      <w:rFonts w:cs="Times New Roman"/>
      <w:b/>
    </w:rPr>
  </w:style>
  <w:style w:type="character" w:customStyle="1" w:styleId="19">
    <w:name w:val="标题 1 Char"/>
    <w:link w:val="4"/>
    <w:qFormat/>
    <w:locked/>
    <w:uiPriority w:val="99"/>
    <w:rPr>
      <w:rFonts w:cs="Times New Roman"/>
      <w:b/>
      <w:kern w:val="1"/>
      <w:sz w:val="44"/>
      <w:lang w:eastAsia="ar-SA" w:bidi="ar-SA"/>
    </w:rPr>
  </w:style>
  <w:style w:type="character" w:customStyle="1" w:styleId="20">
    <w:name w:val="标题 3 Char"/>
    <w:link w:val="6"/>
    <w:qFormat/>
    <w:locked/>
    <w:uiPriority w:val="99"/>
    <w:rPr>
      <w:rFonts w:cs="Times New Roman"/>
      <w:b/>
      <w:kern w:val="21"/>
      <w:sz w:val="32"/>
      <w:lang w:eastAsia="ar-SA" w:bidi="ar-SA"/>
    </w:rPr>
  </w:style>
  <w:style w:type="paragraph" w:styleId="21">
    <w:name w:val="List Paragraph"/>
    <w:basedOn w:val="1"/>
    <w:qFormat/>
    <w:uiPriority w:val="99"/>
    <w:pPr>
      <w:suppressAutoHyphens/>
      <w:ind w:firstLine="420" w:firstLineChars="200"/>
    </w:pPr>
    <w:rPr>
      <w:kern w:val="21"/>
      <w:lang w:eastAsia="ar-SA"/>
    </w:rPr>
  </w:style>
  <w:style w:type="paragraph" w:customStyle="1" w:styleId="22">
    <w:name w:val="段"/>
    <w:link w:val="2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
    <w:name w:val="段 Char"/>
    <w:link w:val="22"/>
    <w:qFormat/>
    <w:locked/>
    <w:uiPriority w:val="0"/>
    <w:rPr>
      <w:rFonts w:ascii="宋体" w:cs="Times New Roman"/>
      <w:sz w:val="21"/>
      <w:lang w:val="en-US" w:eastAsia="zh-CN" w:bidi="ar-SA"/>
    </w:rPr>
  </w:style>
  <w:style w:type="character" w:customStyle="1" w:styleId="24">
    <w:name w:val="页眉 Char"/>
    <w:link w:val="13"/>
    <w:qFormat/>
    <w:uiPriority w:val="99"/>
    <w:rPr>
      <w:sz w:val="18"/>
      <w:szCs w:val="18"/>
    </w:rPr>
  </w:style>
  <w:style w:type="character" w:customStyle="1" w:styleId="25">
    <w:name w:val="页脚 Char"/>
    <w:link w:val="12"/>
    <w:qFormat/>
    <w:uiPriority w:val="99"/>
    <w:rPr>
      <w:sz w:val="18"/>
      <w:szCs w:val="18"/>
    </w:rPr>
  </w:style>
  <w:style w:type="character" w:customStyle="1" w:styleId="26">
    <w:name w:val="批注框文本 Char"/>
    <w:link w:val="11"/>
    <w:semiHidden/>
    <w:qFormat/>
    <w:uiPriority w:val="99"/>
    <w:rPr>
      <w:kern w:val="2"/>
      <w:sz w:val="18"/>
      <w:szCs w:val="18"/>
    </w:rPr>
  </w:style>
  <w:style w:type="table" w:customStyle="1" w:styleId="27">
    <w:name w:val="浅色底纹1"/>
    <w:basedOn w:val="15"/>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8">
    <w:name w:val="浅色底纹2"/>
    <w:basedOn w:val="15"/>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9">
    <w:name w:val="日期 Char"/>
    <w:basedOn w:val="17"/>
    <w:link w:val="10"/>
    <w:semiHidden/>
    <w:qFormat/>
    <w:uiPriority w:val="99"/>
    <w:rPr>
      <w:kern w:val="2"/>
      <w:sz w:val="21"/>
      <w:szCs w:val="24"/>
    </w:rPr>
  </w:style>
  <w:style w:type="character" w:customStyle="1" w:styleId="30">
    <w:name w:val="正文文本 Char"/>
    <w:basedOn w:val="17"/>
    <w:link w:val="9"/>
    <w:qFormat/>
    <w:uiPriority w:val="0"/>
    <w:rPr>
      <w:kern w:val="2"/>
      <w:sz w:val="21"/>
      <w:szCs w:val="24"/>
    </w:rPr>
  </w:style>
  <w:style w:type="paragraph" w:customStyle="1" w:styleId="31">
    <w:name w:val="标准文件_段"/>
    <w:link w:val="3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2">
    <w:name w:val="标准文件_段 Char"/>
    <w:link w:val="31"/>
    <w:qFormat/>
    <w:uiPriority w:val="0"/>
    <w:rPr>
      <w:rFonts w:ascii="宋体"/>
      <w:sz w:val="21"/>
    </w:rPr>
  </w:style>
  <w:style w:type="paragraph" w:customStyle="1" w:styleId="33">
    <w:name w:val="一级条标题"/>
    <w:next w:val="22"/>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4">
    <w:name w:val="二级条标题"/>
    <w:basedOn w:val="33"/>
    <w:next w:val="22"/>
    <w:qFormat/>
    <w:uiPriority w:val="0"/>
    <w:pPr>
      <w:numPr>
        <w:ilvl w:val="2"/>
        <w:numId w:val="1"/>
      </w:numPr>
      <w:spacing w:before="50" w:after="50"/>
      <w:outlineLvl w:val="3"/>
    </w:pPr>
  </w:style>
  <w:style w:type="paragraph" w:customStyle="1" w:styleId="35">
    <w:name w:val="附录表标题"/>
    <w:basedOn w:val="1"/>
    <w:next w:val="22"/>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Pages>
  <Words>3471</Words>
  <Characters>3666</Characters>
  <Lines>49</Lines>
  <Paragraphs>13</Paragraphs>
  <TotalTime>3</TotalTime>
  <ScaleCrop>false</ScaleCrop>
  <LinksUpToDate>false</LinksUpToDate>
  <CharactersWithSpaces>3718</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2016-02-29T07:17:00Z</dcterms:created>
  <dc:creator>lenovo</dc:creator>
  <cp:lastModifiedBy>baixin</cp:lastModifiedBy>
  <cp:lastPrinted>2024-04-20T10:17:00Z</cp:lastPrinted>
  <dcterms:modified xsi:type="dcterms:W3CDTF">2024-08-23T16:55:01Z</dcterms:modified>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